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57658" w14:textId="77777777" w:rsidR="00566612" w:rsidRDefault="00566612" w:rsidP="00566612"/>
    <w:p w14:paraId="2FDE3C9F" w14:textId="50A94554" w:rsidR="00C13498" w:rsidRPr="00566612" w:rsidRDefault="00E3602F" w:rsidP="00566612">
      <w:pPr>
        <w:pStyle w:val="Velk2"/>
      </w:pPr>
      <w:r w:rsidRPr="00566612">
        <w:t>Purpose</w:t>
      </w:r>
    </w:p>
    <w:p w14:paraId="7BC87268" w14:textId="77777777" w:rsidR="00C13498" w:rsidRPr="00566612" w:rsidRDefault="00E3602F" w:rsidP="00566612">
      <w:pPr>
        <w:rPr>
          <w:rFonts w:cs="Arial CE"/>
        </w:rPr>
      </w:pPr>
      <w:r w:rsidRPr="00566612">
        <w:rPr>
          <w:rFonts w:cs="Arial CE"/>
          <w:lang w:val="en-US"/>
        </w:rPr>
        <w:t>This regulation is a summary of the requirements of SOR Libchavy spol. s.r.o. on suppliers and goods that have been evaluated as CySe relevant. The purpose of, is to meet the requirements of the CSMS (Cyber Security Management System) defined by the UNECE R 155 regulation.</w:t>
      </w:r>
    </w:p>
    <w:p w14:paraId="53D9E708" w14:textId="77777777" w:rsidR="00C13498" w:rsidRPr="00566612" w:rsidRDefault="00C13498">
      <w:pPr>
        <w:rPr>
          <w:rFonts w:cs="Arial CE"/>
        </w:rPr>
      </w:pPr>
    </w:p>
    <w:p w14:paraId="6981036F" w14:textId="1D5E2197" w:rsidR="00C13498" w:rsidRPr="00566612" w:rsidRDefault="00E3602F" w:rsidP="00566612">
      <w:pPr>
        <w:pStyle w:val="Velk2"/>
      </w:pPr>
      <w:r w:rsidRPr="00566612">
        <w:t>List of terms</w:t>
      </w:r>
    </w:p>
    <w:p w14:paraId="156D97E3" w14:textId="77777777" w:rsidR="00C13498" w:rsidRPr="00566612" w:rsidRDefault="00E3602F" w:rsidP="00566612">
      <w:pPr>
        <w:rPr>
          <w:rFonts w:cs="Arial CE"/>
        </w:rPr>
      </w:pPr>
      <w:r w:rsidRPr="00566612">
        <w:rPr>
          <w:rFonts w:cs="Arial CE"/>
          <w:lang w:val="en-US"/>
        </w:rPr>
        <w:t>CySe</w:t>
      </w:r>
      <w:r w:rsidRPr="00566612">
        <w:rPr>
          <w:rFonts w:cs="Arial CE"/>
          <w:lang w:val="en-US"/>
        </w:rPr>
        <w:tab/>
      </w:r>
      <w:r w:rsidRPr="00566612">
        <w:rPr>
          <w:rFonts w:cs="Arial CE"/>
          <w:lang w:val="en-US"/>
        </w:rPr>
        <w:tab/>
      </w:r>
      <w:r w:rsidRPr="00566612">
        <w:rPr>
          <w:rFonts w:cs="Arial CE"/>
          <w:lang w:val="en-US"/>
        </w:rPr>
        <w:tab/>
      </w:r>
      <w:r w:rsidRPr="00566612">
        <w:rPr>
          <w:rFonts w:cs="Arial CE"/>
          <w:lang w:val="en-US"/>
        </w:rPr>
        <w:tab/>
      </w:r>
      <w:r w:rsidRPr="00566612">
        <w:rPr>
          <w:rFonts w:cs="Arial CE"/>
          <w:lang w:val="en-US"/>
        </w:rPr>
        <w:tab/>
        <w:t>Cyber Security</w:t>
      </w:r>
    </w:p>
    <w:p w14:paraId="28689BC9" w14:textId="77777777" w:rsidR="00C13498" w:rsidRPr="00566612" w:rsidRDefault="00E3602F" w:rsidP="00566612">
      <w:pPr>
        <w:rPr>
          <w:rFonts w:cs="Arial CE"/>
        </w:rPr>
      </w:pPr>
      <w:r w:rsidRPr="00566612">
        <w:rPr>
          <w:rFonts w:cs="Arial CE"/>
          <w:lang w:val="en-US"/>
        </w:rPr>
        <w:t>CSMS</w:t>
      </w:r>
      <w:r w:rsidRPr="00566612">
        <w:rPr>
          <w:rFonts w:cs="Arial CE"/>
          <w:lang w:val="en-US"/>
        </w:rPr>
        <w:tab/>
      </w:r>
      <w:r w:rsidRPr="00566612">
        <w:rPr>
          <w:rFonts w:cs="Arial CE"/>
          <w:lang w:val="en-US"/>
        </w:rPr>
        <w:tab/>
      </w:r>
      <w:r w:rsidRPr="00566612">
        <w:rPr>
          <w:rFonts w:cs="Arial CE"/>
          <w:lang w:val="en-US"/>
        </w:rPr>
        <w:tab/>
      </w:r>
      <w:r w:rsidRPr="00566612">
        <w:rPr>
          <w:rFonts w:cs="Arial CE"/>
          <w:lang w:val="en-US"/>
        </w:rPr>
        <w:tab/>
      </w:r>
      <w:r w:rsidRPr="00566612">
        <w:rPr>
          <w:rFonts w:cs="Arial CE"/>
          <w:lang w:val="en-US"/>
        </w:rPr>
        <w:tab/>
        <w:t>Cyber Security Management System</w:t>
      </w:r>
    </w:p>
    <w:p w14:paraId="502D29F6" w14:textId="77777777" w:rsidR="00C13498" w:rsidRPr="00566612" w:rsidRDefault="00E3602F" w:rsidP="00566612">
      <w:pPr>
        <w:rPr>
          <w:rFonts w:cs="Arial CE"/>
        </w:rPr>
      </w:pPr>
      <w:r w:rsidRPr="00566612">
        <w:rPr>
          <w:rFonts w:cs="Arial CE"/>
          <w:lang w:val="en-US"/>
        </w:rPr>
        <w:t>SUMS</w:t>
      </w:r>
      <w:r w:rsidRPr="00566612">
        <w:rPr>
          <w:rFonts w:cs="Arial CE"/>
          <w:lang w:val="en-US"/>
        </w:rPr>
        <w:tab/>
      </w:r>
      <w:r w:rsidRPr="00566612">
        <w:rPr>
          <w:rFonts w:cs="Arial CE"/>
          <w:lang w:val="en-US"/>
        </w:rPr>
        <w:tab/>
      </w:r>
      <w:r w:rsidRPr="00566612">
        <w:rPr>
          <w:rFonts w:cs="Arial CE"/>
          <w:lang w:val="en-US"/>
        </w:rPr>
        <w:tab/>
      </w:r>
      <w:r w:rsidRPr="00566612">
        <w:rPr>
          <w:rFonts w:cs="Arial CE"/>
          <w:lang w:val="en-US"/>
        </w:rPr>
        <w:tab/>
      </w:r>
      <w:r w:rsidRPr="00566612">
        <w:rPr>
          <w:rFonts w:cs="Arial CE"/>
          <w:lang w:val="en-US"/>
        </w:rPr>
        <w:tab/>
        <w:t>Software Update Management System</w:t>
      </w:r>
    </w:p>
    <w:p w14:paraId="40D45A3C" w14:textId="77777777" w:rsidR="00C13498" w:rsidRPr="00566612" w:rsidRDefault="00E3602F" w:rsidP="00566612">
      <w:pPr>
        <w:rPr>
          <w:rFonts w:cs="Arial CE"/>
        </w:rPr>
      </w:pPr>
      <w:r w:rsidRPr="00566612">
        <w:rPr>
          <w:rFonts w:cs="Arial CE"/>
          <w:lang w:val="en-US"/>
        </w:rPr>
        <w:t>CySe component</w:t>
      </w:r>
      <w:r w:rsidRPr="00566612">
        <w:rPr>
          <w:rFonts w:cs="Arial CE"/>
          <w:lang w:val="en-US"/>
        </w:rPr>
        <w:tab/>
      </w:r>
      <w:r w:rsidRPr="00566612">
        <w:rPr>
          <w:rFonts w:cs="Arial CE"/>
          <w:lang w:val="en-US"/>
        </w:rPr>
        <w:tab/>
      </w:r>
      <w:r w:rsidRPr="00566612">
        <w:rPr>
          <w:rFonts w:cs="Arial CE"/>
          <w:lang w:val="en-US"/>
        </w:rPr>
        <w:tab/>
        <w:t>CySe relevant goods (control units, converters, sensors, …)</w:t>
      </w:r>
    </w:p>
    <w:p w14:paraId="2D968225" w14:textId="77777777" w:rsidR="00C13498" w:rsidRPr="00566612" w:rsidRDefault="00C13498">
      <w:pPr>
        <w:ind w:left="4950" w:hanging="4950"/>
        <w:rPr>
          <w:rFonts w:cs="Arial CE"/>
        </w:rPr>
      </w:pPr>
    </w:p>
    <w:p w14:paraId="020B90D3" w14:textId="77777777" w:rsidR="00C13498" w:rsidRPr="00566612" w:rsidRDefault="00E3602F" w:rsidP="00566612">
      <w:pPr>
        <w:pStyle w:val="Velk2"/>
      </w:pPr>
      <w:r w:rsidRPr="00566612">
        <w:t>CySe definition of relevant goods (components)</w:t>
      </w:r>
    </w:p>
    <w:p w14:paraId="10BF97CB" w14:textId="77777777" w:rsidR="00C13498" w:rsidRPr="007B4C20" w:rsidRDefault="00E3602F" w:rsidP="00566612">
      <w:pPr>
        <w:rPr>
          <w:rFonts w:cs="Arial CE"/>
          <w:szCs w:val="20"/>
        </w:rPr>
      </w:pPr>
      <w:r w:rsidRPr="007B4C20">
        <w:rPr>
          <w:rFonts w:cs="Arial CE"/>
          <w:b/>
          <w:bCs/>
          <w:szCs w:val="20"/>
        </w:rPr>
        <w:t>CySe relevant goods are defined by SOR.</w:t>
      </w:r>
      <w:r w:rsidRPr="007B4C20">
        <w:rPr>
          <w:rFonts w:cs="Arial CE"/>
          <w:szCs w:val="20"/>
        </w:rPr>
        <w:t xml:space="preserve"> In general, any goods that are relevant from a cybersecurity perspective.  G</w:t>
      </w:r>
      <w:r w:rsidRPr="007B4C20">
        <w:rPr>
          <w:rFonts w:cs="Arial CE"/>
          <w:szCs w:val="20"/>
          <w:lang w:val="en-US"/>
        </w:rPr>
        <w:t>oods are CySe relevant if:</w:t>
      </w:r>
    </w:p>
    <w:p w14:paraId="212EEF83" w14:textId="77777777" w:rsidR="00C13498" w:rsidRPr="007B4C20" w:rsidRDefault="00E3602F" w:rsidP="00566612">
      <w:pPr>
        <w:pStyle w:val="Odstavecseseznamem"/>
        <w:numPr>
          <w:ilvl w:val="0"/>
          <w:numId w:val="10"/>
        </w:numPr>
        <w:rPr>
          <w:rFonts w:ascii="Arial CE" w:hAnsi="Arial CE" w:cs="Arial CE"/>
          <w:sz w:val="20"/>
          <w:szCs w:val="20"/>
        </w:rPr>
      </w:pPr>
      <w:r w:rsidRPr="007B4C20">
        <w:rPr>
          <w:rFonts w:ascii="Arial CE" w:hAnsi="Arial CE" w:cs="Arial CE"/>
          <w:sz w:val="20"/>
          <w:szCs w:val="20"/>
        </w:rPr>
        <w:t>it is an electronic component connected to the A bus</w:t>
      </w:r>
    </w:p>
    <w:p w14:paraId="20A737E1" w14:textId="77777777" w:rsidR="00C13498" w:rsidRPr="007B4C20" w:rsidRDefault="00E3602F" w:rsidP="00566612">
      <w:pPr>
        <w:pStyle w:val="Odstavecseseznamem"/>
        <w:numPr>
          <w:ilvl w:val="0"/>
          <w:numId w:val="10"/>
        </w:numPr>
        <w:rPr>
          <w:rFonts w:ascii="Arial CE" w:hAnsi="Arial CE" w:cs="Arial CE"/>
          <w:sz w:val="20"/>
          <w:szCs w:val="20"/>
        </w:rPr>
      </w:pPr>
      <w:r w:rsidRPr="007B4C20">
        <w:rPr>
          <w:rFonts w:ascii="Arial CE" w:hAnsi="Arial CE" w:cs="Arial CE"/>
          <w:sz w:val="20"/>
          <w:szCs w:val="20"/>
        </w:rPr>
        <w:t>may affect human health or life (e.g. creating a hazardous situation or affecting driving) or the environment or confidential information OR</w:t>
      </w:r>
      <w:r w:rsidRPr="007B4C20">
        <w:rPr>
          <w:rFonts w:ascii="Arial CE" w:hAnsi="Arial CE" w:cs="Arial CE"/>
          <w:sz w:val="20"/>
          <w:szCs w:val="20"/>
        </w:rPr>
        <w:tab/>
      </w:r>
      <w:r w:rsidRPr="007B4C20">
        <w:rPr>
          <w:rFonts w:ascii="Arial CE" w:hAnsi="Arial CE" w:cs="Arial CE"/>
          <w:sz w:val="20"/>
          <w:szCs w:val="20"/>
        </w:rPr>
        <w:tab/>
      </w:r>
      <w:r w:rsidRPr="007B4C20">
        <w:rPr>
          <w:rFonts w:ascii="Arial CE" w:hAnsi="Arial CE" w:cs="Arial CE"/>
          <w:sz w:val="20"/>
          <w:szCs w:val="20"/>
        </w:rPr>
        <w:tab/>
      </w:r>
    </w:p>
    <w:p w14:paraId="4A176A8F" w14:textId="77777777" w:rsidR="00C13498" w:rsidRPr="007B4C20" w:rsidRDefault="00E3602F" w:rsidP="00566612">
      <w:pPr>
        <w:pStyle w:val="Odstavecseseznamem"/>
        <w:numPr>
          <w:ilvl w:val="0"/>
          <w:numId w:val="10"/>
        </w:numPr>
        <w:rPr>
          <w:rFonts w:ascii="Arial CE" w:hAnsi="Arial CE" w:cs="Arial CE"/>
          <w:sz w:val="20"/>
          <w:szCs w:val="20"/>
        </w:rPr>
      </w:pPr>
      <w:r w:rsidRPr="007B4C20">
        <w:rPr>
          <w:rFonts w:ascii="Arial CE" w:hAnsi="Arial CE" w:cs="Arial CE"/>
          <w:sz w:val="20"/>
          <w:szCs w:val="20"/>
        </w:rPr>
        <w:t>has the possibility of an external connection (connector, internet, WIFI).</w:t>
      </w:r>
    </w:p>
    <w:p w14:paraId="7F5FD626" w14:textId="77777777" w:rsidR="00C13498" w:rsidRDefault="00C13498">
      <w:pPr>
        <w:rPr>
          <w:rFonts w:cs="Arial CE"/>
        </w:rPr>
      </w:pPr>
    </w:p>
    <w:p w14:paraId="125805BC" w14:textId="77777777" w:rsidR="007B4C20" w:rsidRPr="00566612" w:rsidRDefault="007B4C20">
      <w:pPr>
        <w:rPr>
          <w:rFonts w:cs="Arial CE"/>
        </w:rPr>
      </w:pPr>
    </w:p>
    <w:p w14:paraId="1AA766B8" w14:textId="77777777" w:rsidR="00C13498" w:rsidRPr="00566612" w:rsidRDefault="00E3602F">
      <w:pPr>
        <w:pStyle w:val="Velk"/>
        <w:rPr>
          <w:rFonts w:cs="Arial CE"/>
        </w:rPr>
      </w:pPr>
      <w:r w:rsidRPr="00566612">
        <w:rPr>
          <w:rFonts w:cs="Arial CE"/>
          <w:lang w:val="en-US"/>
        </w:rPr>
        <w:t>CySe REQUIREMENTS FOR SUPPLIERS AND GOODS</w:t>
      </w:r>
    </w:p>
    <w:p w14:paraId="231C5E83" w14:textId="77777777" w:rsidR="00C13498" w:rsidRPr="00566612" w:rsidRDefault="00C13498">
      <w:pPr>
        <w:rPr>
          <w:rFonts w:cs="Arial CE"/>
        </w:rPr>
      </w:pPr>
    </w:p>
    <w:p w14:paraId="12628DE0" w14:textId="77777777" w:rsidR="00C13498" w:rsidRPr="00566612" w:rsidRDefault="00E3602F" w:rsidP="00566612">
      <w:pPr>
        <w:pStyle w:val="Velk2"/>
      </w:pPr>
      <w:r w:rsidRPr="00566612">
        <w:t>CySe requirements for suppliers</w:t>
      </w:r>
    </w:p>
    <w:p w14:paraId="69E98C62" w14:textId="77777777" w:rsidR="00C13498" w:rsidRPr="007B4C20" w:rsidRDefault="00E3602F">
      <w:pPr>
        <w:pStyle w:val="Zkladntext"/>
        <w:rPr>
          <w:rFonts w:cs="Arial CE"/>
          <w:szCs w:val="20"/>
        </w:rPr>
      </w:pPr>
      <w:r w:rsidRPr="007B4C20">
        <w:rPr>
          <w:rFonts w:cs="Arial CE"/>
          <w:szCs w:val="20"/>
        </w:rPr>
        <w:t xml:space="preserve">Prior to the first delivery of a </w:t>
      </w:r>
      <w:r w:rsidRPr="007B4C20">
        <w:rPr>
          <w:rFonts w:cs="Arial CE"/>
          <w:szCs w:val="20"/>
          <w:lang w:val="en-US"/>
        </w:rPr>
        <w:t>CySe</w:t>
      </w:r>
      <w:r w:rsidRPr="007B4C20">
        <w:rPr>
          <w:rFonts w:cs="Arial CE"/>
          <w:szCs w:val="20"/>
        </w:rPr>
        <w:t xml:space="preserve"> component, and as part of the periodic supplier evaluation, the SOR supplier shall provide the following documentation to demonstrate a sufficient approach to ensuring the cybersecurity of their organisation:</w:t>
      </w:r>
    </w:p>
    <w:p w14:paraId="3FBB8CC7" w14:textId="416BD2C8" w:rsidR="00C13498" w:rsidRPr="007B4C20" w:rsidRDefault="00E3602F">
      <w:pPr>
        <w:pStyle w:val="Zkladntext"/>
        <w:numPr>
          <w:ilvl w:val="0"/>
          <w:numId w:val="2"/>
        </w:numPr>
        <w:spacing w:after="60" w:line="288" w:lineRule="auto"/>
        <w:contextualSpacing/>
        <w:rPr>
          <w:rFonts w:cs="Arial CE"/>
          <w:szCs w:val="20"/>
        </w:rPr>
      </w:pPr>
      <w:r w:rsidRPr="007B4C20">
        <w:rPr>
          <w:rFonts w:cs="Arial CE"/>
          <w:szCs w:val="20"/>
        </w:rPr>
        <w:t>CySe certificate of the organisation, e.g. </w:t>
      </w:r>
      <w:r w:rsidRPr="007B4C20">
        <w:rPr>
          <w:rFonts w:cs="Arial CE"/>
          <w:b/>
          <w:szCs w:val="20"/>
        </w:rPr>
        <w:t>UNECE R 155, ISO 27001</w:t>
      </w:r>
      <w:r w:rsidR="001A378F">
        <w:rPr>
          <w:b/>
          <w:bCs/>
        </w:rPr>
        <w:t xml:space="preserve">, ISO </w:t>
      </w:r>
      <w:r w:rsidR="001A378F" w:rsidRPr="00F90752">
        <w:rPr>
          <w:b/>
          <w:bCs/>
        </w:rPr>
        <w:t>21434</w:t>
      </w:r>
      <w:r w:rsidRPr="007B4C20">
        <w:rPr>
          <w:rFonts w:cs="Arial CE"/>
          <w:b/>
          <w:szCs w:val="20"/>
        </w:rPr>
        <w:t> </w:t>
      </w:r>
      <w:r w:rsidRPr="007B4C20">
        <w:rPr>
          <w:rFonts w:cs="Arial CE"/>
          <w:szCs w:val="20"/>
        </w:rPr>
        <w:t>or </w:t>
      </w:r>
      <w:r w:rsidRPr="007B4C20">
        <w:rPr>
          <w:rFonts w:cs="Arial CE"/>
          <w:b/>
          <w:szCs w:val="20"/>
        </w:rPr>
        <w:t>TISAX</w:t>
      </w:r>
      <w:r w:rsidRPr="007B4C20">
        <w:rPr>
          <w:rFonts w:cs="Arial CE"/>
          <w:szCs w:val="20"/>
        </w:rPr>
        <w:t> issued by an authorised person; or</w:t>
      </w:r>
    </w:p>
    <w:p w14:paraId="19148DD4" w14:textId="77777777" w:rsidR="00C13498" w:rsidRPr="007B4C20" w:rsidRDefault="00E3602F">
      <w:pPr>
        <w:pStyle w:val="Zkladntext"/>
        <w:numPr>
          <w:ilvl w:val="0"/>
          <w:numId w:val="2"/>
        </w:numPr>
        <w:spacing w:after="60" w:line="288" w:lineRule="auto"/>
        <w:contextualSpacing/>
        <w:rPr>
          <w:rFonts w:cs="Arial CE"/>
          <w:szCs w:val="20"/>
        </w:rPr>
      </w:pPr>
      <w:r w:rsidRPr="007B4C20">
        <w:rPr>
          <w:rFonts w:cs="Arial CE"/>
          <w:szCs w:val="20"/>
        </w:rPr>
        <w:t>proof of the organisation's classification as an obliged person under Regulation Directive (EU) 2022/2555 of the European Parliament and of the Council - abbreviated as "</w:t>
      </w:r>
      <w:r w:rsidRPr="007B4C20">
        <w:rPr>
          <w:rFonts w:cs="Arial CE"/>
          <w:b/>
          <w:szCs w:val="20"/>
        </w:rPr>
        <w:t>NIS2</w:t>
      </w:r>
      <w:r w:rsidRPr="007B4C20">
        <w:rPr>
          <w:rFonts w:cs="Arial CE"/>
          <w:szCs w:val="20"/>
        </w:rPr>
        <w:t>"; or</w:t>
      </w:r>
    </w:p>
    <w:p w14:paraId="4491C832" w14:textId="7A384FE2" w:rsidR="00C13498" w:rsidRPr="007B4C20" w:rsidRDefault="00E3602F">
      <w:pPr>
        <w:pStyle w:val="Odstavecseseznamem"/>
        <w:numPr>
          <w:ilvl w:val="0"/>
          <w:numId w:val="2"/>
        </w:numPr>
        <w:spacing w:after="60" w:line="288" w:lineRule="auto"/>
        <w:rPr>
          <w:rFonts w:ascii="Arial CE" w:hAnsi="Arial CE" w:cs="Arial CE"/>
          <w:sz w:val="20"/>
          <w:szCs w:val="20"/>
        </w:rPr>
      </w:pPr>
      <w:r w:rsidRPr="007B4C20">
        <w:rPr>
          <w:rFonts w:ascii="Arial CE" w:hAnsi="Arial CE" w:cs="Arial CE"/>
          <w:sz w:val="20"/>
          <w:szCs w:val="20"/>
        </w:rPr>
        <w:t xml:space="preserve">completed </w:t>
      </w:r>
      <w:hyperlink r:id="rId11">
        <w:r w:rsidRPr="007B4C20">
          <w:rPr>
            <w:rStyle w:val="Hypertextovodkaz"/>
            <w:rFonts w:ascii="Arial CE" w:hAnsi="Arial CE" w:cs="Arial CE"/>
            <w:b/>
            <w:bCs/>
            <w:sz w:val="20"/>
            <w:szCs w:val="20"/>
          </w:rPr>
          <w:t>CySe supplier questionnaire</w:t>
        </w:r>
      </w:hyperlink>
      <w:r w:rsidRPr="007B4C20">
        <w:rPr>
          <w:rFonts w:ascii="Arial CE" w:hAnsi="Arial CE" w:cs="Arial CE"/>
          <w:sz w:val="20"/>
          <w:szCs w:val="20"/>
        </w:rPr>
        <w:t xml:space="preserve"> containing an affidavit. SOR reserves the right to verify the truthfulness of the affidavit by conducting a customer audit of the supplier,</w:t>
      </w:r>
    </w:p>
    <w:p w14:paraId="27B9F943" w14:textId="1DFBD1E3" w:rsidR="00C13498" w:rsidRPr="007B4C20" w:rsidRDefault="00E3602F">
      <w:pPr>
        <w:pStyle w:val="Odstavecseseznamem"/>
        <w:numPr>
          <w:ilvl w:val="0"/>
          <w:numId w:val="2"/>
        </w:numPr>
        <w:rPr>
          <w:rFonts w:ascii="Arial CE" w:hAnsi="Arial CE" w:cs="Arial CE"/>
          <w:sz w:val="20"/>
          <w:szCs w:val="20"/>
        </w:rPr>
      </w:pPr>
      <w:r w:rsidRPr="007B4C20">
        <w:rPr>
          <w:rFonts w:ascii="Arial CE" w:hAnsi="Arial CE" w:cs="Arial CE"/>
          <w:sz w:val="20"/>
          <w:szCs w:val="20"/>
        </w:rPr>
        <w:t xml:space="preserve">and at the same time </w:t>
      </w:r>
      <w:hyperlink r:id="rId12">
        <w:r w:rsidRPr="007B4C20">
          <w:rPr>
            <w:rStyle w:val="Hypertextovodkaz"/>
            <w:rFonts w:ascii="Arial CE" w:hAnsi="Arial CE" w:cs="Arial CE"/>
            <w:b/>
            <w:bCs/>
            <w:sz w:val="20"/>
            <w:szCs w:val="20"/>
          </w:rPr>
          <w:t>CySe DIA Cybersecurity Interface Agreement</w:t>
        </w:r>
      </w:hyperlink>
      <w:r w:rsidRPr="007B4C20">
        <w:rPr>
          <w:rFonts w:ascii="Arial CE" w:hAnsi="Arial CE" w:cs="Arial CE"/>
          <w:sz w:val="20"/>
          <w:szCs w:val="20"/>
        </w:rPr>
        <w:t>, or own version of the agreement.</w:t>
      </w:r>
    </w:p>
    <w:p w14:paraId="249C43AD" w14:textId="77777777" w:rsidR="00C13498" w:rsidRPr="007B4C20" w:rsidRDefault="00E3602F">
      <w:pPr>
        <w:rPr>
          <w:rFonts w:cs="Arial CE"/>
          <w:szCs w:val="20"/>
        </w:rPr>
      </w:pPr>
      <w:r w:rsidRPr="007B4C20">
        <w:rPr>
          <w:rFonts w:cs="Arial CE"/>
          <w:szCs w:val="20"/>
        </w:rPr>
        <w:t>During the annual evaluation of suppliers, it is verified that the supplier still meets the above-mentioned conditions. On behalf of SOR, this evaluation and contact with the supplier is carried out by the Purchasing Department (in cooperation with the CySe Manager).</w:t>
      </w:r>
    </w:p>
    <w:p w14:paraId="19DD1081" w14:textId="77777777" w:rsidR="00C13498" w:rsidRPr="007B4C20" w:rsidRDefault="00C13498">
      <w:pPr>
        <w:rPr>
          <w:rFonts w:cs="Arial CE"/>
          <w:szCs w:val="20"/>
        </w:rPr>
      </w:pPr>
    </w:p>
    <w:p w14:paraId="50CED15F" w14:textId="77777777" w:rsidR="00C13498" w:rsidRPr="007B4C20" w:rsidRDefault="00E3602F">
      <w:pPr>
        <w:rPr>
          <w:rFonts w:cs="Arial CE"/>
          <w:szCs w:val="20"/>
        </w:rPr>
      </w:pPr>
      <w:r w:rsidRPr="007B4C20">
        <w:rPr>
          <w:rFonts w:cs="Arial CE"/>
          <w:szCs w:val="20"/>
        </w:rPr>
        <w:t>The supplier is also obliged to:</w:t>
      </w:r>
    </w:p>
    <w:p w14:paraId="2942FF4E" w14:textId="6650A1B9" w:rsidR="00C13498" w:rsidRPr="007B4C20" w:rsidRDefault="00E3602F">
      <w:pPr>
        <w:pStyle w:val="Zkladntext"/>
        <w:numPr>
          <w:ilvl w:val="0"/>
          <w:numId w:val="2"/>
        </w:numPr>
        <w:spacing w:after="60" w:line="288" w:lineRule="auto"/>
        <w:contextualSpacing/>
        <w:rPr>
          <w:rFonts w:cs="Arial CE"/>
          <w:szCs w:val="20"/>
        </w:rPr>
      </w:pPr>
      <w:r w:rsidRPr="007B4C20">
        <w:rPr>
          <w:rFonts w:cs="Arial CE"/>
          <w:szCs w:val="20"/>
        </w:rPr>
        <w:t>immediately notify SOR of the occurrence of a serious </w:t>
      </w:r>
      <w:r w:rsidRPr="007B4C20">
        <w:rPr>
          <w:rFonts w:cs="Arial CE"/>
          <w:b/>
          <w:szCs w:val="20"/>
        </w:rPr>
        <w:t>vulnerability</w:t>
      </w:r>
      <w:r w:rsidRPr="007B4C20">
        <w:rPr>
          <w:rFonts w:cs="Arial CE"/>
          <w:szCs w:val="20"/>
        </w:rPr>
        <w:t> or </w:t>
      </w:r>
      <w:r w:rsidRPr="007B4C20">
        <w:rPr>
          <w:rFonts w:cs="Arial CE"/>
          <w:b/>
          <w:szCs w:val="20"/>
        </w:rPr>
        <w:t>cyber incident</w:t>
      </w:r>
      <w:r w:rsidRPr="007B4C20">
        <w:rPr>
          <w:rFonts w:cs="Arial CE"/>
          <w:szCs w:val="20"/>
        </w:rPr>
        <w:t> or the </w:t>
      </w:r>
      <w:r w:rsidRPr="007B4C20">
        <w:rPr>
          <w:rFonts w:cs="Arial CE"/>
          <w:b/>
          <w:szCs w:val="20"/>
        </w:rPr>
        <w:t>release of a critical update </w:t>
      </w:r>
      <w:r w:rsidRPr="007B4C20">
        <w:rPr>
          <w:rFonts w:cs="Arial CE"/>
          <w:szCs w:val="20"/>
        </w:rPr>
        <w:t xml:space="preserve">(potentially affecting passenger security) by email: </w:t>
      </w:r>
      <w:hyperlink r:id="rId13">
        <w:r w:rsidR="003347C6" w:rsidRPr="003347C6">
          <w:rPr>
            <w:rStyle w:val="Hypertextovodkaz"/>
            <w:rFonts w:cs="Arial CE"/>
            <w:szCs w:val="20"/>
          </w:rPr>
          <w:t>notification</w:t>
        </w:r>
        <w:r w:rsidRPr="007B4C20">
          <w:rPr>
            <w:rStyle w:val="Hypertextovodkaz"/>
            <w:rFonts w:cs="Arial CE"/>
            <w:szCs w:val="20"/>
          </w:rPr>
          <w:t>@sor.cz</w:t>
        </w:r>
      </w:hyperlink>
      <w:r w:rsidRPr="007B4C20">
        <w:rPr>
          <w:rFonts w:cs="Arial CE"/>
          <w:szCs w:val="20"/>
        </w:rPr>
        <w:t>.</w:t>
      </w:r>
    </w:p>
    <w:p w14:paraId="0A492C5B" w14:textId="77777777" w:rsidR="00C13498" w:rsidRPr="007B4C20" w:rsidRDefault="00C13498">
      <w:pPr>
        <w:rPr>
          <w:rFonts w:cs="Arial CE"/>
          <w:szCs w:val="20"/>
        </w:rPr>
      </w:pPr>
    </w:p>
    <w:p w14:paraId="34374A71" w14:textId="77777777" w:rsidR="00C13498" w:rsidRPr="00566612" w:rsidRDefault="00E3602F" w:rsidP="00566612">
      <w:pPr>
        <w:pStyle w:val="Velk2"/>
      </w:pPr>
      <w:r w:rsidRPr="00566612">
        <w:lastRenderedPageBreak/>
        <w:t>CySe requirements for purchased components</w:t>
      </w:r>
    </w:p>
    <w:p w14:paraId="482FB169" w14:textId="77777777" w:rsidR="00C13498" w:rsidRPr="00566612" w:rsidRDefault="00E3602F">
      <w:pPr>
        <w:rPr>
          <w:rFonts w:cs="Arial CE"/>
          <w:szCs w:val="20"/>
        </w:rPr>
      </w:pPr>
      <w:r w:rsidRPr="00566612">
        <w:rPr>
          <w:rFonts w:cs="Arial CE"/>
          <w:szCs w:val="20"/>
        </w:rPr>
        <w:t>In case of a CySe component, the supplier is obliged to deliver:</w:t>
      </w:r>
    </w:p>
    <w:p w14:paraId="68B5D33F" w14:textId="77777777" w:rsidR="00C13498" w:rsidRPr="00566612" w:rsidRDefault="00E3602F">
      <w:pPr>
        <w:pStyle w:val="Odstavecseseznamem"/>
        <w:numPr>
          <w:ilvl w:val="0"/>
          <w:numId w:val="3"/>
        </w:numPr>
        <w:tabs>
          <w:tab w:val="left" w:pos="6240"/>
        </w:tabs>
        <w:spacing w:after="57" w:line="288" w:lineRule="auto"/>
        <w:contextualSpacing w:val="0"/>
        <w:rPr>
          <w:rFonts w:ascii="Arial CE" w:hAnsi="Arial CE" w:cs="Arial CE"/>
          <w:sz w:val="20"/>
          <w:szCs w:val="20"/>
        </w:rPr>
      </w:pPr>
      <w:r w:rsidRPr="00566612">
        <w:rPr>
          <w:rFonts w:ascii="Arial CE" w:hAnsi="Arial CE" w:cs="Arial CE"/>
          <w:b/>
          <w:bCs/>
          <w:sz w:val="20"/>
          <w:szCs w:val="20"/>
        </w:rPr>
        <w:t>CSMS certificate</w:t>
      </w:r>
      <w:r w:rsidRPr="00566612">
        <w:rPr>
          <w:rFonts w:ascii="Arial CE" w:hAnsi="Arial CE" w:cs="Arial CE"/>
          <w:sz w:val="20"/>
          <w:szCs w:val="20"/>
        </w:rPr>
        <w:t xml:space="preserve"> for goods according to UNECE R 155 issued by an authorized person (if any);</w:t>
      </w:r>
    </w:p>
    <w:p w14:paraId="22760A61" w14:textId="77777777" w:rsidR="00C13498" w:rsidRPr="00566612" w:rsidRDefault="00E3602F">
      <w:pPr>
        <w:pStyle w:val="Zkladntext"/>
        <w:numPr>
          <w:ilvl w:val="0"/>
          <w:numId w:val="3"/>
        </w:numPr>
        <w:tabs>
          <w:tab w:val="left" w:pos="6240"/>
        </w:tabs>
        <w:spacing w:after="57" w:line="288" w:lineRule="auto"/>
        <w:rPr>
          <w:rFonts w:cs="Arial CE"/>
          <w:szCs w:val="20"/>
        </w:rPr>
      </w:pPr>
      <w:r w:rsidRPr="00566612">
        <w:rPr>
          <w:rFonts w:cs="Arial CE"/>
          <w:szCs w:val="20"/>
        </w:rPr>
        <w:t>current results of </w:t>
      </w:r>
      <w:r w:rsidRPr="00566612">
        <w:rPr>
          <w:rFonts w:cs="Arial CE"/>
          <w:b/>
          <w:szCs w:val="20"/>
        </w:rPr>
        <w:t>TARA</w:t>
      </w:r>
      <w:r w:rsidRPr="00566612">
        <w:rPr>
          <w:rFonts w:cs="Arial CE"/>
          <w:szCs w:val="20"/>
        </w:rPr>
        <w:t> analysis (we prefer to use the methodology according to ISO/SAE 21434):</w:t>
      </w:r>
    </w:p>
    <w:p w14:paraId="2578F3B2" w14:textId="77777777" w:rsidR="00C13498" w:rsidRPr="00566612" w:rsidRDefault="00E3602F">
      <w:pPr>
        <w:pStyle w:val="Odstavecseseznamem"/>
        <w:numPr>
          <w:ilvl w:val="0"/>
          <w:numId w:val="6"/>
        </w:numPr>
        <w:tabs>
          <w:tab w:val="left" w:pos="6240"/>
        </w:tabs>
        <w:spacing w:after="57"/>
        <w:contextualSpacing w:val="0"/>
        <w:rPr>
          <w:rFonts w:ascii="Arial CE" w:hAnsi="Arial CE" w:cs="Arial CE"/>
          <w:sz w:val="20"/>
          <w:szCs w:val="20"/>
        </w:rPr>
      </w:pPr>
      <w:r w:rsidRPr="00566612">
        <w:rPr>
          <w:rFonts w:ascii="Arial CE" w:hAnsi="Arial CE" w:cs="Arial CE"/>
          <w:sz w:val="20"/>
          <w:szCs w:val="20"/>
        </w:rPr>
        <w:t>risks arising from TARA analysis,</w:t>
      </w:r>
    </w:p>
    <w:p w14:paraId="2C29BFF1" w14:textId="77777777" w:rsidR="00C13498" w:rsidRPr="00566612" w:rsidRDefault="00E3602F">
      <w:pPr>
        <w:pStyle w:val="Zkladntext"/>
        <w:numPr>
          <w:ilvl w:val="0"/>
          <w:numId w:val="6"/>
        </w:numPr>
        <w:tabs>
          <w:tab w:val="left" w:pos="6240"/>
        </w:tabs>
        <w:spacing w:after="57"/>
        <w:rPr>
          <w:rFonts w:cs="Arial CE"/>
          <w:szCs w:val="20"/>
        </w:rPr>
      </w:pPr>
      <w:r w:rsidRPr="00566612">
        <w:rPr>
          <w:rFonts w:cs="Arial CE"/>
          <w:b/>
          <w:szCs w:val="20"/>
        </w:rPr>
        <w:t>technical measures</w:t>
      </w:r>
      <w:r w:rsidRPr="00566612">
        <w:rPr>
          <w:rFonts w:cs="Arial CE"/>
          <w:szCs w:val="20"/>
        </w:rPr>
        <w:t> to mitigate their negative impacts;</w:t>
      </w:r>
    </w:p>
    <w:p w14:paraId="58B556F1" w14:textId="77777777" w:rsidR="00C13498" w:rsidRPr="00566612" w:rsidRDefault="00E3602F">
      <w:pPr>
        <w:pStyle w:val="Zkladntext"/>
        <w:numPr>
          <w:ilvl w:val="0"/>
          <w:numId w:val="3"/>
        </w:numPr>
        <w:spacing w:after="57" w:line="288" w:lineRule="auto"/>
        <w:rPr>
          <w:rFonts w:cs="Arial CE"/>
          <w:szCs w:val="20"/>
        </w:rPr>
      </w:pPr>
      <w:r w:rsidRPr="00566612">
        <w:rPr>
          <w:rFonts w:cs="Arial CE"/>
          <w:szCs w:val="20"/>
        </w:rPr>
        <w:t>component:</w:t>
      </w:r>
    </w:p>
    <w:p w14:paraId="3FD545F3" w14:textId="77777777" w:rsidR="00C13498" w:rsidRPr="00566612" w:rsidRDefault="00E3602F">
      <w:pPr>
        <w:pStyle w:val="Zkladntext"/>
        <w:numPr>
          <w:ilvl w:val="0"/>
          <w:numId w:val="7"/>
        </w:numPr>
        <w:spacing w:after="57"/>
        <w:rPr>
          <w:rFonts w:cs="Arial CE"/>
          <w:szCs w:val="20"/>
        </w:rPr>
      </w:pPr>
      <w:r w:rsidRPr="00566612">
        <w:rPr>
          <w:rFonts w:cs="Arial CE"/>
          <w:szCs w:val="20"/>
        </w:rPr>
        <w:t>clearly </w:t>
      </w:r>
      <w:r w:rsidRPr="00566612">
        <w:rPr>
          <w:rFonts w:cs="Arial CE"/>
          <w:b/>
          <w:szCs w:val="20"/>
        </w:rPr>
        <w:t xml:space="preserve">identify a component </w:t>
      </w:r>
      <w:r w:rsidRPr="00566612">
        <w:rPr>
          <w:rFonts w:cs="Arial CE"/>
          <w:szCs w:val="20"/>
        </w:rPr>
        <w:t>if it is intended for testing or development purposes,</w:t>
      </w:r>
    </w:p>
    <w:p w14:paraId="73E9526B" w14:textId="77777777" w:rsidR="00C13498" w:rsidRPr="00566612" w:rsidRDefault="00E3602F">
      <w:pPr>
        <w:pStyle w:val="Zkladntext"/>
        <w:numPr>
          <w:ilvl w:val="0"/>
          <w:numId w:val="7"/>
        </w:numPr>
        <w:spacing w:after="57"/>
        <w:rPr>
          <w:rFonts w:cs="Arial CE"/>
          <w:szCs w:val="20"/>
        </w:rPr>
      </w:pPr>
      <w:r w:rsidRPr="00566612">
        <w:rPr>
          <w:rFonts w:cs="Arial CE"/>
          <w:szCs w:val="20"/>
        </w:rPr>
        <w:t xml:space="preserve">for serial production vehicles, </w:t>
      </w:r>
      <w:r w:rsidRPr="00566612">
        <w:rPr>
          <w:rFonts w:cs="Arial CE"/>
          <w:b/>
          <w:bCs/>
          <w:szCs w:val="20"/>
        </w:rPr>
        <w:t>use only the OBD socket and the UDS protocol</w:t>
      </w:r>
      <w:r w:rsidRPr="00566612">
        <w:rPr>
          <w:rFonts w:cs="Arial CE"/>
          <w:szCs w:val="20"/>
        </w:rPr>
        <w:t> for CAN diagnostics and software updates,</w:t>
      </w:r>
    </w:p>
    <w:p w14:paraId="590BB63A" w14:textId="77777777" w:rsidR="00C13498" w:rsidRPr="00566612" w:rsidRDefault="00E3602F">
      <w:pPr>
        <w:pStyle w:val="Zkladntext"/>
        <w:numPr>
          <w:ilvl w:val="0"/>
          <w:numId w:val="7"/>
        </w:numPr>
        <w:spacing w:after="57"/>
        <w:rPr>
          <w:rFonts w:cs="Arial CE"/>
          <w:szCs w:val="20"/>
        </w:rPr>
      </w:pPr>
      <w:r w:rsidRPr="00566612">
        <w:rPr>
          <w:rFonts w:cs="Arial CE"/>
          <w:b/>
          <w:szCs w:val="20"/>
        </w:rPr>
        <w:t>penetration test results</w:t>
      </w:r>
      <w:r w:rsidRPr="00566612">
        <w:rPr>
          <w:rFonts w:cs="Arial CE"/>
          <w:szCs w:val="20"/>
        </w:rPr>
        <w:t> including fixes of findings, if available;</w:t>
      </w:r>
    </w:p>
    <w:p w14:paraId="315AA384" w14:textId="77777777" w:rsidR="00C13498" w:rsidRPr="00566612" w:rsidRDefault="00E3602F">
      <w:pPr>
        <w:pStyle w:val="Odstavecseseznamem"/>
        <w:numPr>
          <w:ilvl w:val="0"/>
          <w:numId w:val="3"/>
        </w:numPr>
        <w:spacing w:after="57" w:line="288" w:lineRule="auto"/>
        <w:contextualSpacing w:val="0"/>
        <w:rPr>
          <w:rFonts w:ascii="Arial CE" w:hAnsi="Arial CE" w:cs="Arial CE"/>
          <w:sz w:val="20"/>
          <w:szCs w:val="20"/>
        </w:rPr>
      </w:pPr>
      <w:r w:rsidRPr="00566612">
        <w:rPr>
          <w:rFonts w:ascii="Arial CE" w:hAnsi="Arial CE" w:cs="Arial CE"/>
          <w:sz w:val="20"/>
          <w:szCs w:val="20"/>
        </w:rPr>
        <w:t>software:</w:t>
      </w:r>
    </w:p>
    <w:p w14:paraId="7D3FCDA0" w14:textId="77777777" w:rsidR="00C13498" w:rsidRPr="00566612" w:rsidRDefault="00E3602F">
      <w:pPr>
        <w:pStyle w:val="Odstavecseseznamem"/>
        <w:numPr>
          <w:ilvl w:val="0"/>
          <w:numId w:val="8"/>
        </w:numPr>
        <w:spacing w:after="57"/>
        <w:contextualSpacing w:val="0"/>
        <w:rPr>
          <w:rFonts w:ascii="Arial CE" w:hAnsi="Arial CE" w:cs="Arial CE"/>
          <w:sz w:val="20"/>
          <w:szCs w:val="20"/>
        </w:rPr>
      </w:pPr>
      <w:r w:rsidRPr="00566612">
        <w:rPr>
          <w:rFonts w:ascii="Arial CE" w:hAnsi="Arial CE" w:cs="Arial CE"/>
          <w:b/>
          <w:bCs/>
          <w:sz w:val="20"/>
          <w:szCs w:val="20"/>
        </w:rPr>
        <w:t>manuals for diagnostic software</w:t>
      </w:r>
      <w:r w:rsidRPr="00566612">
        <w:rPr>
          <w:rFonts w:ascii="Arial CE" w:hAnsi="Arial CE" w:cs="Arial CE"/>
          <w:sz w:val="20"/>
          <w:szCs w:val="20"/>
        </w:rPr>
        <w:t>,</w:t>
      </w:r>
    </w:p>
    <w:p w14:paraId="13C068B1" w14:textId="77777777" w:rsidR="00C13498" w:rsidRPr="00566612" w:rsidRDefault="00E3602F">
      <w:pPr>
        <w:pStyle w:val="Odstavecseseznamem"/>
        <w:numPr>
          <w:ilvl w:val="0"/>
          <w:numId w:val="8"/>
        </w:numPr>
        <w:spacing w:after="57"/>
        <w:contextualSpacing w:val="0"/>
        <w:rPr>
          <w:rFonts w:ascii="Arial CE" w:hAnsi="Arial CE" w:cs="Arial CE"/>
          <w:sz w:val="20"/>
          <w:szCs w:val="20"/>
        </w:rPr>
      </w:pPr>
      <w:r w:rsidRPr="00566612">
        <w:rPr>
          <w:rFonts w:ascii="Arial CE" w:hAnsi="Arial CE" w:cs="Arial CE"/>
          <w:sz w:val="20"/>
          <w:szCs w:val="20"/>
        </w:rPr>
        <w:t>safe </w:t>
      </w:r>
      <w:r w:rsidRPr="00566612">
        <w:rPr>
          <w:rFonts w:ascii="Arial CE" w:hAnsi="Arial CE" w:cs="Arial CE"/>
          <w:b/>
          <w:bCs/>
          <w:sz w:val="20"/>
          <w:szCs w:val="20"/>
        </w:rPr>
        <w:t>procedures for updating software</w:t>
      </w:r>
      <w:r w:rsidRPr="00566612">
        <w:rPr>
          <w:rFonts w:ascii="Arial CE" w:hAnsi="Arial CE" w:cs="Arial CE"/>
          <w:sz w:val="20"/>
          <w:szCs w:val="20"/>
        </w:rPr>
        <w:t> or unit parameters,</w:t>
      </w:r>
    </w:p>
    <w:p w14:paraId="577D01A0" w14:textId="77777777" w:rsidR="00C13498" w:rsidRPr="00566612" w:rsidRDefault="00E3602F">
      <w:pPr>
        <w:pStyle w:val="Zkladntext"/>
        <w:numPr>
          <w:ilvl w:val="0"/>
          <w:numId w:val="8"/>
        </w:numPr>
        <w:spacing w:after="57"/>
        <w:rPr>
          <w:rFonts w:cs="Arial CE"/>
          <w:szCs w:val="20"/>
        </w:rPr>
      </w:pPr>
      <w:r w:rsidRPr="00566612">
        <w:rPr>
          <w:rFonts w:cs="Arial CE"/>
          <w:szCs w:val="20"/>
        </w:rPr>
        <w:t>secure </w:t>
      </w:r>
      <w:r w:rsidRPr="00566612">
        <w:rPr>
          <w:rFonts w:cs="Arial CE"/>
          <w:b/>
          <w:bCs/>
          <w:szCs w:val="20"/>
        </w:rPr>
        <w:t>access to current versions of software</w:t>
      </w:r>
      <w:r w:rsidRPr="00566612">
        <w:rPr>
          <w:rFonts w:cs="Arial CE"/>
          <w:szCs w:val="20"/>
        </w:rPr>
        <w:t>,</w:t>
      </w:r>
    </w:p>
    <w:p w14:paraId="71B44139" w14:textId="77777777" w:rsidR="00C13498" w:rsidRPr="00566612" w:rsidRDefault="00E3602F">
      <w:pPr>
        <w:pStyle w:val="Zkladntext"/>
        <w:numPr>
          <w:ilvl w:val="0"/>
          <w:numId w:val="8"/>
        </w:numPr>
        <w:spacing w:after="57"/>
        <w:rPr>
          <w:rFonts w:cs="Arial CE"/>
          <w:szCs w:val="20"/>
        </w:rPr>
      </w:pPr>
      <w:r w:rsidRPr="00566612">
        <w:rPr>
          <w:rFonts w:cs="Arial CE"/>
          <w:szCs w:val="20"/>
        </w:rPr>
        <w:t>clearly </w:t>
      </w:r>
      <w:r w:rsidRPr="00566612">
        <w:rPr>
          <w:rFonts w:cs="Arial CE"/>
          <w:b/>
          <w:szCs w:val="20"/>
        </w:rPr>
        <w:t>distinguish software </w:t>
      </w:r>
      <w:r w:rsidRPr="00566612">
        <w:rPr>
          <w:rFonts w:cs="Arial CE"/>
          <w:szCs w:val="20"/>
        </w:rPr>
        <w:t>intended for vehicle operation on the road from unsafe or test software,</w:t>
      </w:r>
    </w:p>
    <w:p w14:paraId="2B370957" w14:textId="77777777" w:rsidR="00C13498" w:rsidRPr="00566612" w:rsidRDefault="00E3602F">
      <w:pPr>
        <w:pStyle w:val="Zkladntext"/>
        <w:numPr>
          <w:ilvl w:val="0"/>
          <w:numId w:val="8"/>
        </w:numPr>
        <w:spacing w:after="57"/>
        <w:rPr>
          <w:rFonts w:cs="Arial CE"/>
          <w:szCs w:val="20"/>
        </w:rPr>
      </w:pPr>
      <w:r w:rsidRPr="00566612">
        <w:rPr>
          <w:rFonts w:cs="Arial CE"/>
          <w:szCs w:val="20"/>
        </w:rPr>
        <w:t>ensure the </w:t>
      </w:r>
      <w:r w:rsidRPr="00566612">
        <w:rPr>
          <w:rFonts w:cs="Arial CE"/>
          <w:b/>
          <w:szCs w:val="20"/>
        </w:rPr>
        <w:t>immutability of software during updates</w:t>
      </w:r>
      <w:r w:rsidRPr="00566612">
        <w:rPr>
          <w:rFonts w:cs="Arial CE"/>
          <w:szCs w:val="20"/>
        </w:rPr>
        <w:t> (e.g. on-line updates, e-signature or checksum, encryption, etc.),</w:t>
      </w:r>
    </w:p>
    <w:p w14:paraId="796E1C27" w14:textId="77777777" w:rsidR="00C13498" w:rsidRPr="00566612" w:rsidRDefault="00E3602F">
      <w:pPr>
        <w:pStyle w:val="Zkladntext"/>
        <w:numPr>
          <w:ilvl w:val="0"/>
          <w:numId w:val="8"/>
        </w:numPr>
        <w:spacing w:after="57"/>
        <w:rPr>
          <w:rFonts w:cs="Arial CE"/>
          <w:szCs w:val="20"/>
        </w:rPr>
      </w:pPr>
      <w:r w:rsidRPr="00566612">
        <w:rPr>
          <w:rFonts w:cs="Arial CE"/>
          <w:b/>
          <w:szCs w:val="20"/>
        </w:rPr>
        <w:t>software test</w:t>
      </w:r>
      <w:r w:rsidRPr="00566612">
        <w:rPr>
          <w:rFonts w:cs="Arial CE"/>
          <w:szCs w:val="20"/>
        </w:rPr>
        <w:t> results (e.g. CVE and CVSS or comparison with </w:t>
      </w:r>
      <w:hyperlink r:id="rId14">
        <w:r w:rsidRPr="00566612">
          <w:rPr>
            <w:rStyle w:val="Hypertextovodkaz"/>
            <w:rFonts w:cs="Arial CE"/>
            <w:szCs w:val="20"/>
          </w:rPr>
          <w:t>nvd.nist.gov</w:t>
        </w:r>
      </w:hyperlink>
      <w:r w:rsidRPr="00566612">
        <w:rPr>
          <w:rFonts w:cs="Arial CE"/>
          <w:szCs w:val="20"/>
        </w:rPr>
        <w:t>);</w:t>
      </w:r>
    </w:p>
    <w:p w14:paraId="6F0B4868" w14:textId="6F12CB14" w:rsidR="00077B3D" w:rsidRDefault="00077B3D">
      <w:pPr>
        <w:pStyle w:val="Odstavecseseznamem"/>
        <w:numPr>
          <w:ilvl w:val="0"/>
          <w:numId w:val="3"/>
        </w:numPr>
        <w:spacing w:after="57" w:line="288" w:lineRule="auto"/>
        <w:contextualSpacing w:val="0"/>
        <w:rPr>
          <w:rFonts w:ascii="Arial CE" w:hAnsi="Arial CE" w:cs="Arial CE"/>
          <w:sz w:val="20"/>
          <w:szCs w:val="20"/>
        </w:rPr>
      </w:pPr>
      <w:r>
        <w:rPr>
          <w:rFonts w:ascii="Arial CE" w:hAnsi="Arial CE" w:cs="Arial CE"/>
          <w:sz w:val="20"/>
          <w:szCs w:val="20"/>
        </w:rPr>
        <w:t>e</w:t>
      </w:r>
      <w:r w:rsidRPr="00077B3D">
        <w:rPr>
          <w:rFonts w:ascii="Arial CE" w:hAnsi="Arial CE" w:cs="Arial CE"/>
          <w:sz w:val="20"/>
          <w:szCs w:val="20"/>
        </w:rPr>
        <w:t>ncryption</w:t>
      </w:r>
      <w:r>
        <w:rPr>
          <w:rFonts w:ascii="Arial CE" w:hAnsi="Arial CE" w:cs="Arial CE"/>
          <w:sz w:val="20"/>
          <w:szCs w:val="20"/>
        </w:rPr>
        <w:t>:</w:t>
      </w:r>
    </w:p>
    <w:p w14:paraId="577A952B" w14:textId="3C24F1C1" w:rsidR="00077B3D" w:rsidRDefault="00077B3D" w:rsidP="00077B3D">
      <w:pPr>
        <w:pStyle w:val="Odstavecseseznamem"/>
        <w:numPr>
          <w:ilvl w:val="0"/>
          <w:numId w:val="11"/>
        </w:numPr>
        <w:spacing w:after="57"/>
        <w:rPr>
          <w:rFonts w:cs="Arial CE"/>
          <w:szCs w:val="20"/>
        </w:rPr>
      </w:pPr>
      <w:r w:rsidRPr="00077B3D">
        <w:rPr>
          <w:rFonts w:cs="Arial CE"/>
          <w:szCs w:val="20"/>
        </w:rPr>
        <w:t>components and SW protected by secure cryptographic protocols, ciphers and hashing functions, i.e. without known vulnerabilities (according to NÚKIB or NIST) and regularly (at least once a year) compare this status,</w:t>
      </w:r>
    </w:p>
    <w:p w14:paraId="770F1467" w14:textId="219D91AD" w:rsidR="00077B3D" w:rsidRDefault="00077B3D" w:rsidP="00077B3D">
      <w:pPr>
        <w:pStyle w:val="Odstavecseseznamem"/>
        <w:numPr>
          <w:ilvl w:val="0"/>
          <w:numId w:val="11"/>
        </w:numPr>
        <w:spacing w:after="57"/>
        <w:rPr>
          <w:rFonts w:cs="Arial CE"/>
          <w:szCs w:val="20"/>
        </w:rPr>
      </w:pPr>
      <w:r w:rsidRPr="00077B3D">
        <w:rPr>
          <w:rFonts w:cs="Arial CE"/>
          <w:szCs w:val="20"/>
        </w:rPr>
        <w:t>if other (unapproved) encryption algorithms are used, the SOR must be informed,</w:t>
      </w:r>
    </w:p>
    <w:p w14:paraId="208A8271" w14:textId="0720104D" w:rsidR="00077B3D" w:rsidRDefault="00077B3D" w:rsidP="00077B3D">
      <w:pPr>
        <w:pStyle w:val="Odstavecseseznamem"/>
        <w:numPr>
          <w:ilvl w:val="0"/>
          <w:numId w:val="11"/>
        </w:numPr>
        <w:spacing w:after="57"/>
        <w:rPr>
          <w:rFonts w:cs="Arial CE"/>
          <w:szCs w:val="20"/>
        </w:rPr>
      </w:pPr>
      <w:r w:rsidRPr="00077B3D">
        <w:rPr>
          <w:rFonts w:cs="Arial CE"/>
          <w:szCs w:val="20"/>
        </w:rPr>
        <w:t>current links:</w:t>
      </w:r>
    </w:p>
    <w:p w14:paraId="08BEE468" w14:textId="0E8248FF" w:rsidR="00077B3D" w:rsidRDefault="00077B3D" w:rsidP="00077B3D">
      <w:pPr>
        <w:pStyle w:val="Odstavecseseznamem"/>
        <w:numPr>
          <w:ilvl w:val="1"/>
          <w:numId w:val="11"/>
        </w:numPr>
        <w:spacing w:after="57"/>
        <w:rPr>
          <w:rFonts w:cs="Arial CE"/>
          <w:szCs w:val="20"/>
        </w:rPr>
      </w:pPr>
      <w:hyperlink r:id="rId15" w:history="1">
        <w:r w:rsidRPr="00077B3D">
          <w:rPr>
            <w:rStyle w:val="Hypertextovodkaz"/>
            <w:rFonts w:cs="Arial CE"/>
            <w:szCs w:val="20"/>
          </w:rPr>
          <w:t>NÚK</w:t>
        </w:r>
        <w:r w:rsidRPr="00077B3D">
          <w:rPr>
            <w:rStyle w:val="Hypertextovodkaz"/>
            <w:rFonts w:cs="Arial CE"/>
            <w:szCs w:val="20"/>
          </w:rPr>
          <w:t>I</w:t>
        </w:r>
        <w:r w:rsidRPr="00077B3D">
          <w:rPr>
            <w:rStyle w:val="Hypertextovodkaz"/>
            <w:rFonts w:cs="Arial CE"/>
            <w:szCs w:val="20"/>
          </w:rPr>
          <w:t>B</w:t>
        </w:r>
      </w:hyperlink>
      <w:r>
        <w:rPr>
          <w:rFonts w:cs="Arial CE"/>
          <w:szCs w:val="20"/>
        </w:rPr>
        <w:t>,</w:t>
      </w:r>
    </w:p>
    <w:p w14:paraId="3D9281FF" w14:textId="432C779F" w:rsidR="00077B3D" w:rsidRPr="00077B3D" w:rsidRDefault="00077B3D" w:rsidP="00077B3D">
      <w:pPr>
        <w:pStyle w:val="Odstavecseseznamem"/>
        <w:numPr>
          <w:ilvl w:val="1"/>
          <w:numId w:val="11"/>
        </w:numPr>
        <w:spacing w:after="57"/>
        <w:rPr>
          <w:rFonts w:cs="Arial CE"/>
          <w:szCs w:val="20"/>
        </w:rPr>
      </w:pPr>
      <w:hyperlink r:id="rId16" w:history="1">
        <w:r w:rsidRPr="00077B3D">
          <w:rPr>
            <w:rStyle w:val="Hypertextovodkaz"/>
            <w:rFonts w:cs="Arial CE"/>
            <w:szCs w:val="20"/>
          </w:rPr>
          <w:t>N</w:t>
        </w:r>
        <w:r w:rsidRPr="00077B3D">
          <w:rPr>
            <w:rStyle w:val="Hypertextovodkaz"/>
            <w:rFonts w:cs="Arial CE"/>
            <w:szCs w:val="20"/>
          </w:rPr>
          <w:t>I</w:t>
        </w:r>
        <w:r w:rsidRPr="00077B3D">
          <w:rPr>
            <w:rStyle w:val="Hypertextovodkaz"/>
            <w:rFonts w:cs="Arial CE"/>
            <w:szCs w:val="20"/>
          </w:rPr>
          <w:t>ST</w:t>
        </w:r>
      </w:hyperlink>
      <w:r w:rsidRPr="00077B3D">
        <w:rPr>
          <w:rFonts w:cs="Arial CE"/>
          <w:szCs w:val="20"/>
        </w:rPr>
        <w:t>;</w:t>
      </w:r>
    </w:p>
    <w:p w14:paraId="103B044C" w14:textId="2F41168F" w:rsidR="00C13498" w:rsidRPr="00566612" w:rsidRDefault="00E3602F">
      <w:pPr>
        <w:pStyle w:val="Odstavecseseznamem"/>
        <w:numPr>
          <w:ilvl w:val="0"/>
          <w:numId w:val="3"/>
        </w:numPr>
        <w:spacing w:after="57" w:line="288" w:lineRule="auto"/>
        <w:contextualSpacing w:val="0"/>
        <w:rPr>
          <w:rFonts w:ascii="Arial CE" w:hAnsi="Arial CE" w:cs="Arial CE"/>
          <w:sz w:val="20"/>
          <w:szCs w:val="20"/>
        </w:rPr>
      </w:pPr>
      <w:r w:rsidRPr="00566612">
        <w:rPr>
          <w:rFonts w:ascii="Arial CE" w:hAnsi="Arial CE" w:cs="Arial CE"/>
          <w:sz w:val="20"/>
          <w:szCs w:val="20"/>
        </w:rPr>
        <w:t>in the case of an ECU, a </w:t>
      </w:r>
      <w:r w:rsidRPr="00566612">
        <w:rPr>
          <w:rFonts w:ascii="Arial CE" w:hAnsi="Arial CE" w:cs="Arial CE"/>
          <w:b/>
          <w:bCs/>
          <w:sz w:val="20"/>
          <w:szCs w:val="20"/>
        </w:rPr>
        <w:t>list of queries</w:t>
      </w:r>
      <w:r w:rsidRPr="00566612">
        <w:rPr>
          <w:rFonts w:ascii="Arial CE" w:hAnsi="Arial CE" w:cs="Arial CE"/>
          <w:sz w:val="20"/>
          <w:szCs w:val="20"/>
        </w:rPr>
        <w:t> to which the ECU responds via CAN:</w:t>
      </w:r>
    </w:p>
    <w:p w14:paraId="4320A276" w14:textId="77777777" w:rsidR="00C13498" w:rsidRPr="00566612" w:rsidRDefault="00E3602F">
      <w:pPr>
        <w:pStyle w:val="Odstavecseseznamem"/>
        <w:numPr>
          <w:ilvl w:val="0"/>
          <w:numId w:val="9"/>
        </w:numPr>
        <w:spacing w:after="57"/>
        <w:contextualSpacing w:val="0"/>
        <w:rPr>
          <w:rFonts w:ascii="Arial CE" w:hAnsi="Arial CE" w:cs="Arial CE"/>
          <w:sz w:val="20"/>
          <w:szCs w:val="20"/>
        </w:rPr>
      </w:pPr>
      <w:r w:rsidRPr="00566612">
        <w:rPr>
          <w:rFonts w:ascii="Arial CE" w:hAnsi="Arial CE" w:cs="Arial CE"/>
          <w:sz w:val="20"/>
          <w:szCs w:val="20"/>
        </w:rPr>
        <w:t>ECU hardware version (model number or product number),</w:t>
      </w:r>
    </w:p>
    <w:p w14:paraId="56057450" w14:textId="77777777" w:rsidR="00C13498" w:rsidRPr="00566612" w:rsidRDefault="00E3602F">
      <w:pPr>
        <w:pStyle w:val="Odstavecseseznamem"/>
        <w:numPr>
          <w:ilvl w:val="0"/>
          <w:numId w:val="9"/>
        </w:numPr>
        <w:spacing w:after="57"/>
        <w:contextualSpacing w:val="0"/>
        <w:rPr>
          <w:rFonts w:ascii="Arial CE" w:hAnsi="Arial CE" w:cs="Arial CE"/>
          <w:sz w:val="20"/>
          <w:szCs w:val="20"/>
        </w:rPr>
      </w:pPr>
      <w:r w:rsidRPr="00566612">
        <w:rPr>
          <w:rFonts w:ascii="Arial CE" w:hAnsi="Arial CE" w:cs="Arial CE"/>
          <w:sz w:val="20"/>
          <w:szCs w:val="20"/>
        </w:rPr>
        <w:t>ECU serial number,</w:t>
      </w:r>
    </w:p>
    <w:p w14:paraId="2A4C0D09" w14:textId="77777777" w:rsidR="00C13498" w:rsidRPr="00566612" w:rsidRDefault="00E3602F">
      <w:pPr>
        <w:pStyle w:val="Odstavecseseznamem"/>
        <w:numPr>
          <w:ilvl w:val="0"/>
          <w:numId w:val="9"/>
        </w:numPr>
        <w:spacing w:after="57"/>
        <w:contextualSpacing w:val="0"/>
        <w:rPr>
          <w:rFonts w:ascii="Arial CE" w:hAnsi="Arial CE" w:cs="Arial CE"/>
          <w:sz w:val="20"/>
          <w:szCs w:val="20"/>
        </w:rPr>
      </w:pPr>
      <w:r w:rsidRPr="00566612">
        <w:rPr>
          <w:rFonts w:ascii="Arial CE" w:hAnsi="Arial CE" w:cs="Arial CE"/>
          <w:sz w:val="20"/>
          <w:szCs w:val="20"/>
        </w:rPr>
        <w:t>software version,</w:t>
      </w:r>
    </w:p>
    <w:p w14:paraId="429CE24B" w14:textId="77777777" w:rsidR="00C13498" w:rsidRPr="00566612" w:rsidRDefault="00E3602F">
      <w:pPr>
        <w:pStyle w:val="Odstavecseseznamem"/>
        <w:numPr>
          <w:ilvl w:val="0"/>
          <w:numId w:val="9"/>
        </w:numPr>
        <w:spacing w:after="57"/>
        <w:contextualSpacing w:val="0"/>
        <w:rPr>
          <w:rFonts w:ascii="Arial CE" w:hAnsi="Arial CE" w:cs="Arial CE"/>
          <w:sz w:val="20"/>
          <w:szCs w:val="20"/>
        </w:rPr>
      </w:pPr>
      <w:r w:rsidRPr="00566612">
        <w:rPr>
          <w:rFonts w:ascii="Arial CE" w:hAnsi="Arial CE" w:cs="Arial CE"/>
          <w:sz w:val="20"/>
          <w:szCs w:val="20"/>
        </w:rPr>
        <w:t>Integrity Validation Data;</w:t>
      </w:r>
    </w:p>
    <w:p w14:paraId="17A230CA" w14:textId="77777777" w:rsidR="00C13498" w:rsidRPr="00566612" w:rsidRDefault="00E3602F">
      <w:pPr>
        <w:pStyle w:val="Zkladntext"/>
        <w:numPr>
          <w:ilvl w:val="0"/>
          <w:numId w:val="3"/>
        </w:numPr>
        <w:spacing w:after="57" w:line="288" w:lineRule="auto"/>
        <w:rPr>
          <w:rFonts w:cs="Arial CE"/>
          <w:szCs w:val="20"/>
        </w:rPr>
      </w:pPr>
      <w:r w:rsidRPr="00566612">
        <w:rPr>
          <w:rFonts w:cs="Arial CE"/>
          <w:szCs w:val="20"/>
        </w:rPr>
        <w:t>the </w:t>
      </w:r>
      <w:r w:rsidRPr="00566612">
        <w:rPr>
          <w:rFonts w:cs="Arial CE"/>
          <w:b/>
          <w:szCs w:val="20"/>
        </w:rPr>
        <w:t>end date of support for</w:t>
      </w:r>
      <w:r w:rsidRPr="00566612">
        <w:rPr>
          <w:rFonts w:cs="Arial CE"/>
          <w:szCs w:val="20"/>
        </w:rPr>
        <w:t> the goods (development and production of the goods/components).</w:t>
      </w:r>
    </w:p>
    <w:p w14:paraId="44366B2E" w14:textId="77777777" w:rsidR="00C13498" w:rsidRPr="00566612" w:rsidRDefault="00C13498">
      <w:pPr>
        <w:rPr>
          <w:rFonts w:cs="Arial CE"/>
        </w:rPr>
      </w:pPr>
    </w:p>
    <w:p w14:paraId="76BAAD95" w14:textId="77777777" w:rsidR="00C13498" w:rsidRPr="00566612" w:rsidRDefault="00E3602F">
      <w:pPr>
        <w:pStyle w:val="Zkladntext"/>
        <w:rPr>
          <w:rFonts w:cs="Arial CE"/>
          <w:szCs w:val="20"/>
        </w:rPr>
      </w:pPr>
      <w:r w:rsidRPr="00566612">
        <w:rPr>
          <w:rFonts w:cs="Arial CE"/>
          <w:szCs w:val="20"/>
        </w:rPr>
        <w:t>If the supplier is unable to deliver point 2, the cooperation of SOR (Director of Purchasing and Logistics, CySe Manager) and the supplier's technical experts is required. For this, the supplier shall prepare in advance:</w:t>
      </w:r>
    </w:p>
    <w:p w14:paraId="72A22037" w14:textId="77777777" w:rsidR="00C13498" w:rsidRPr="00566612" w:rsidRDefault="00E3602F">
      <w:pPr>
        <w:pStyle w:val="Odstavecseseznamem"/>
        <w:numPr>
          <w:ilvl w:val="0"/>
          <w:numId w:val="4"/>
        </w:numPr>
        <w:spacing w:after="60" w:line="288" w:lineRule="auto"/>
        <w:rPr>
          <w:rFonts w:ascii="Arial CE" w:hAnsi="Arial CE" w:cs="Arial CE"/>
          <w:sz w:val="20"/>
          <w:szCs w:val="20"/>
        </w:rPr>
      </w:pPr>
      <w:r w:rsidRPr="00566612">
        <w:rPr>
          <w:rFonts w:ascii="Arial CE" w:hAnsi="Arial CE" w:cs="Arial CE"/>
          <w:sz w:val="20"/>
          <w:szCs w:val="20"/>
        </w:rPr>
        <w:t>technical documentation of the component including block connection diagram, communication interface, and operational states.</w:t>
      </w:r>
    </w:p>
    <w:p w14:paraId="50BADE2F" w14:textId="77777777" w:rsidR="00C13498" w:rsidRPr="00566612" w:rsidRDefault="00E3602F">
      <w:pPr>
        <w:pStyle w:val="Zkladntext"/>
        <w:numPr>
          <w:ilvl w:val="0"/>
          <w:numId w:val="4"/>
        </w:numPr>
        <w:spacing w:after="60" w:line="288" w:lineRule="auto"/>
        <w:contextualSpacing/>
        <w:rPr>
          <w:rFonts w:cs="Arial CE"/>
          <w:szCs w:val="20"/>
        </w:rPr>
      </w:pPr>
      <w:r w:rsidRPr="00566612">
        <w:rPr>
          <w:rFonts w:cs="Arial CE"/>
          <w:szCs w:val="20"/>
        </w:rPr>
        <w:t>description of the safety mechanisms and measures used,</w:t>
      </w:r>
    </w:p>
    <w:p w14:paraId="2BEA82D3" w14:textId="77777777" w:rsidR="00C13498" w:rsidRPr="00566612" w:rsidRDefault="00E3602F">
      <w:pPr>
        <w:pStyle w:val="Zkladntext"/>
        <w:numPr>
          <w:ilvl w:val="0"/>
          <w:numId w:val="4"/>
        </w:numPr>
        <w:spacing w:after="60" w:line="288" w:lineRule="auto"/>
        <w:contextualSpacing/>
        <w:rPr>
          <w:rFonts w:cs="Arial CE"/>
          <w:szCs w:val="20"/>
        </w:rPr>
      </w:pPr>
      <w:r w:rsidRPr="00566612">
        <w:rPr>
          <w:rFonts w:cs="Arial CE"/>
          <w:szCs w:val="20"/>
        </w:rPr>
        <w:t>the provision of sufficient staff and expertise for the consultation and a proposal for its timing.</w:t>
      </w:r>
    </w:p>
    <w:p w14:paraId="5EA992A5" w14:textId="77777777" w:rsidR="00C13498" w:rsidRPr="00566612" w:rsidRDefault="00C13498">
      <w:pPr>
        <w:rPr>
          <w:rFonts w:cs="Arial CE"/>
          <w:szCs w:val="20"/>
        </w:rPr>
      </w:pPr>
    </w:p>
    <w:sectPr w:rsidR="00C13498" w:rsidRPr="00566612">
      <w:headerReference w:type="default" r:id="rId17"/>
      <w:footerReference w:type="default" r:id="rId18"/>
      <w:headerReference w:type="first" r:id="rId19"/>
      <w:footerReference w:type="first" r:id="rId20"/>
      <w:pgSz w:w="11906" w:h="16838"/>
      <w:pgMar w:top="2127" w:right="849" w:bottom="567" w:left="851" w:header="426" w:footer="8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3EBF5" w14:textId="77777777" w:rsidR="00671B92" w:rsidRDefault="00671B92">
      <w:pPr>
        <w:spacing w:after="0" w:line="240" w:lineRule="auto"/>
      </w:pPr>
      <w:r>
        <w:separator/>
      </w:r>
    </w:p>
  </w:endnote>
  <w:endnote w:type="continuationSeparator" w:id="0">
    <w:p w14:paraId="233C2BAE" w14:textId="77777777" w:rsidR="00671B92" w:rsidRDefault="0067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EFF" w:usb1="F9DFFFFF" w:usb2="0000007F" w:usb3="00000000" w:csb0="003F01FF" w:csb1="00000000"/>
  </w:font>
  <w:font w:name="RobotoCondensed-Regular">
    <w:altName w:val="Arial"/>
    <w:charset w:val="01"/>
    <w:family w:val="roman"/>
    <w:pitch w:val="variable"/>
  </w:font>
  <w:font w:name="RobotoCondensed-Bold">
    <w:altName w:val="Arial"/>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764615"/>
      <w:docPartObj>
        <w:docPartGallery w:val="Page Numbers (Bottom of Page)"/>
        <w:docPartUnique/>
      </w:docPartObj>
    </w:sdtPr>
    <w:sdtEndPr/>
    <w:sdtContent>
      <w:p w14:paraId="1C41CC7E" w14:textId="77777777" w:rsidR="00C13498" w:rsidRDefault="00E3602F">
        <w:pPr>
          <w:pStyle w:val="Zpat"/>
          <w:jc w:val="center"/>
        </w:pPr>
        <w:r>
          <w:t xml:space="preserve">Strana </w:t>
        </w:r>
        <w:r>
          <w:fldChar w:fldCharType="begin"/>
        </w:r>
        <w:r>
          <w:instrText xml:space="preserve"> PAGE </w:instrText>
        </w:r>
        <w:r>
          <w:fldChar w:fldCharType="separate"/>
        </w:r>
        <w:r>
          <w:t>1</w:t>
        </w:r>
        <w:r>
          <w:fldChar w:fldCharType="end"/>
        </w:r>
        <w:r>
          <w:t xml:space="preserve"> z </w:t>
        </w:r>
        <w:r>
          <w:fldChar w:fldCharType="begin"/>
        </w:r>
        <w:r>
          <w:instrText xml:space="preserve"> NUMPAGES </w:instrText>
        </w:r>
        <w:r>
          <w:fldChar w:fldCharType="separate"/>
        </w:r>
        <w:r>
          <w:t>2</w:t>
        </w:r>
        <w:r>
          <w:fldChar w:fldCharType="end"/>
        </w:r>
      </w:p>
      <w:p w14:paraId="234EC808" w14:textId="77777777" w:rsidR="00C13498" w:rsidRDefault="003347C6">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246385"/>
      <w:docPartObj>
        <w:docPartGallery w:val="Page Numbers (Bottom of Page)"/>
        <w:docPartUnique/>
      </w:docPartObj>
    </w:sdtPr>
    <w:sdtEndPr/>
    <w:sdtContent>
      <w:p w14:paraId="34EBA52B" w14:textId="77777777" w:rsidR="00C13498" w:rsidRDefault="00E3602F">
        <w:pPr>
          <w:pStyle w:val="Zpat"/>
          <w:jc w:val="center"/>
        </w:pPr>
        <w:r>
          <w:t xml:space="preserve">Strana </w:t>
        </w:r>
        <w:r>
          <w:fldChar w:fldCharType="begin"/>
        </w:r>
        <w:r>
          <w:instrText xml:space="preserve"> PAGE </w:instrText>
        </w:r>
        <w:r>
          <w:fldChar w:fldCharType="separate"/>
        </w:r>
        <w:r>
          <w:t>1</w:t>
        </w:r>
        <w:r>
          <w:fldChar w:fldCharType="end"/>
        </w:r>
        <w:r>
          <w:t xml:space="preserve"> z </w:t>
        </w:r>
        <w:r>
          <w:fldChar w:fldCharType="begin"/>
        </w:r>
        <w:r>
          <w:instrText xml:space="preserve"> NUMPAGES </w:instrText>
        </w:r>
        <w:r>
          <w:fldChar w:fldCharType="separate"/>
        </w:r>
        <w:r>
          <w:t>2</w:t>
        </w:r>
        <w:r>
          <w:fldChar w:fldCharType="end"/>
        </w:r>
      </w:p>
      <w:p w14:paraId="4F2C42AE" w14:textId="77777777" w:rsidR="00C13498" w:rsidRDefault="003347C6">
        <w:pPr>
          <w:pStyle w:val="Zpa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EDC54" w14:textId="77777777" w:rsidR="00671B92" w:rsidRDefault="00671B92">
      <w:pPr>
        <w:spacing w:after="0" w:line="240" w:lineRule="auto"/>
      </w:pPr>
      <w:r>
        <w:separator/>
      </w:r>
    </w:p>
  </w:footnote>
  <w:footnote w:type="continuationSeparator" w:id="0">
    <w:p w14:paraId="424A8592" w14:textId="77777777" w:rsidR="00671B92" w:rsidRDefault="00671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774" w:type="dxa"/>
      <w:tblInd w:w="-284" w:type="dxa"/>
      <w:tblLayout w:type="fixed"/>
      <w:tblLook w:val="04A0" w:firstRow="1" w:lastRow="0" w:firstColumn="1" w:lastColumn="0" w:noHBand="0" w:noVBand="1"/>
    </w:tblPr>
    <w:tblGrid>
      <w:gridCol w:w="2552"/>
      <w:gridCol w:w="5102"/>
      <w:gridCol w:w="3120"/>
    </w:tblGrid>
    <w:tr w:rsidR="00C13498" w14:paraId="7DF2AE5A" w14:textId="77777777" w:rsidTr="002E0085">
      <w:trPr>
        <w:trHeight w:val="1418"/>
      </w:trPr>
      <w:tc>
        <w:tcPr>
          <w:tcW w:w="2552" w:type="dxa"/>
          <w:tcBorders>
            <w:top w:val="nil"/>
            <w:left w:val="nil"/>
            <w:bottom w:val="single" w:sz="12" w:space="0" w:color="4CB848"/>
            <w:right w:val="nil"/>
          </w:tcBorders>
          <w:shd w:val="clear" w:color="auto" w:fill="FFFFFF" w:themeFill="background1"/>
          <w:vAlign w:val="center"/>
        </w:tcPr>
        <w:p w14:paraId="0F3E9418" w14:textId="77777777" w:rsidR="00C13498" w:rsidRDefault="00E3602F">
          <w:pPr>
            <w:pStyle w:val="Zhlav"/>
            <w:rPr>
              <w:sz w:val="10"/>
              <w:szCs w:val="10"/>
            </w:rPr>
          </w:pPr>
          <w:r>
            <w:rPr>
              <w:rFonts w:eastAsia="Calibri"/>
              <w:noProof/>
            </w:rPr>
            <w:drawing>
              <wp:inline distT="0" distB="0" distL="0" distR="0" wp14:anchorId="60469ABC" wp14:editId="0FAAF8AA">
                <wp:extent cx="819150" cy="483235"/>
                <wp:effectExtent l="0" t="0" r="0" b="0"/>
                <wp:docPr id="1" name="Obrázek 97061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970615117"/>
                        <pic:cNvPicPr>
                          <a:picLocks noChangeAspect="1" noChangeArrowheads="1"/>
                        </pic:cNvPicPr>
                      </pic:nvPicPr>
                      <pic:blipFill>
                        <a:blip r:embed="rId1"/>
                        <a:stretch>
                          <a:fillRect/>
                        </a:stretch>
                      </pic:blipFill>
                      <pic:spPr bwMode="auto">
                        <a:xfrm>
                          <a:off x="0" y="0"/>
                          <a:ext cx="819150" cy="483235"/>
                        </a:xfrm>
                        <a:prstGeom prst="rect">
                          <a:avLst/>
                        </a:prstGeom>
                      </pic:spPr>
                    </pic:pic>
                  </a:graphicData>
                </a:graphic>
              </wp:inline>
            </w:drawing>
          </w:r>
        </w:p>
        <w:p w14:paraId="6EC41630" w14:textId="77777777" w:rsidR="00C13498" w:rsidRDefault="00C13498">
          <w:pPr>
            <w:pStyle w:val="Zhlav"/>
            <w:rPr>
              <w:sz w:val="10"/>
              <w:szCs w:val="10"/>
            </w:rPr>
          </w:pPr>
        </w:p>
        <w:p w14:paraId="7394157D" w14:textId="77777777" w:rsidR="00C13498" w:rsidRDefault="00E3602F">
          <w:pPr>
            <w:pStyle w:val="Zhlav"/>
            <w:rPr>
              <w:sz w:val="16"/>
              <w:szCs w:val="16"/>
            </w:rPr>
          </w:pPr>
          <w:r>
            <w:rPr>
              <w:rFonts w:eastAsia="Calibri"/>
              <w:sz w:val="16"/>
              <w:szCs w:val="16"/>
            </w:rPr>
            <w:t>MPQ 840-2 Příloha 3</w:t>
          </w:r>
        </w:p>
        <w:p w14:paraId="1309458A" w14:textId="77777777" w:rsidR="00C13498" w:rsidRDefault="00E3602F">
          <w:pPr>
            <w:pStyle w:val="Zhlav"/>
            <w:rPr>
              <w:sz w:val="16"/>
              <w:szCs w:val="16"/>
            </w:rPr>
          </w:pPr>
          <w:r>
            <w:rPr>
              <w:rFonts w:eastAsia="Calibri"/>
              <w:sz w:val="16"/>
              <w:szCs w:val="16"/>
            </w:rPr>
            <w:t>Document classification: Public</w:t>
          </w:r>
        </w:p>
      </w:tc>
      <w:tc>
        <w:tcPr>
          <w:tcW w:w="5102" w:type="dxa"/>
          <w:tcBorders>
            <w:top w:val="nil"/>
            <w:left w:val="nil"/>
            <w:bottom w:val="single" w:sz="12" w:space="0" w:color="4CB848"/>
            <w:right w:val="nil"/>
          </w:tcBorders>
          <w:shd w:val="clear" w:color="auto" w:fill="FFFFFF" w:themeFill="background1"/>
          <w:vAlign w:val="center"/>
        </w:tcPr>
        <w:p w14:paraId="65BD6C9D" w14:textId="455170F1" w:rsidR="00C13498" w:rsidRDefault="002E0085">
          <w:pPr>
            <w:pStyle w:val="Zhlav"/>
            <w:jc w:val="center"/>
            <w:rPr>
              <w:sz w:val="32"/>
              <w:szCs w:val="32"/>
            </w:rPr>
          </w:pPr>
          <w:r w:rsidRPr="002E0085">
            <w:rPr>
              <w:sz w:val="32"/>
              <w:szCs w:val="32"/>
            </w:rPr>
            <w:t>CySe rules for suppliers and goods</w:t>
          </w:r>
        </w:p>
      </w:tc>
      <w:tc>
        <w:tcPr>
          <w:tcW w:w="3120" w:type="dxa"/>
          <w:tcBorders>
            <w:top w:val="nil"/>
            <w:left w:val="nil"/>
            <w:bottom w:val="single" w:sz="12" w:space="0" w:color="4CB848"/>
            <w:right w:val="nil"/>
          </w:tcBorders>
          <w:shd w:val="clear" w:color="auto" w:fill="FFFFFF" w:themeFill="background1"/>
          <w:vAlign w:val="center"/>
        </w:tcPr>
        <w:p w14:paraId="2EFCA6B1" w14:textId="77777777" w:rsidR="00C13498" w:rsidRDefault="00E3602F">
          <w:pPr>
            <w:spacing w:after="0" w:line="240" w:lineRule="auto"/>
            <w:rPr>
              <w:rFonts w:ascii="RobotoCondensed-Regular" w:hAnsi="RobotoCondensed-Regular" w:cs="RobotoCondensed-Regular"/>
              <w:kern w:val="0"/>
              <w:sz w:val="18"/>
              <w:szCs w:val="18"/>
            </w:rPr>
          </w:pPr>
          <w:r>
            <w:rPr>
              <w:rFonts w:ascii="RobotoCondensed-Regular" w:eastAsia="Calibri" w:hAnsi="RobotoCondensed-Regular" w:cs="RobotoCondensed-Regular"/>
              <w:kern w:val="0"/>
              <w:sz w:val="18"/>
              <w:szCs w:val="18"/>
            </w:rPr>
            <w:t>SOR Libchavy spol. s r.o.</w:t>
          </w:r>
        </w:p>
        <w:p w14:paraId="2D939E1B" w14:textId="77777777" w:rsidR="00C13498" w:rsidRDefault="00E3602F">
          <w:pPr>
            <w:spacing w:after="0" w:line="240" w:lineRule="auto"/>
            <w:rPr>
              <w:rFonts w:ascii="RobotoCondensed-Regular" w:hAnsi="RobotoCondensed-Regular" w:cs="RobotoCondensed-Regular"/>
              <w:kern w:val="0"/>
              <w:sz w:val="18"/>
              <w:szCs w:val="18"/>
            </w:rPr>
          </w:pPr>
          <w:r>
            <w:rPr>
              <w:rFonts w:ascii="RobotoCondensed-Regular" w:eastAsia="Calibri" w:hAnsi="RobotoCondensed-Regular" w:cs="RobotoCondensed-Regular"/>
              <w:kern w:val="0"/>
              <w:sz w:val="18"/>
              <w:szCs w:val="18"/>
            </w:rPr>
            <w:t>Dolní Libchavy 48, 561 16 Libchavy</w:t>
          </w:r>
        </w:p>
        <w:p w14:paraId="1325486E" w14:textId="77777777" w:rsidR="00C13498" w:rsidRDefault="00E3602F">
          <w:pPr>
            <w:spacing w:after="0" w:line="240" w:lineRule="auto"/>
            <w:rPr>
              <w:rFonts w:ascii="RobotoCondensed-Regular" w:hAnsi="RobotoCondensed-Regular" w:cs="RobotoCondensed-Regular"/>
              <w:kern w:val="0"/>
              <w:sz w:val="18"/>
              <w:szCs w:val="18"/>
            </w:rPr>
          </w:pPr>
          <w:r>
            <w:rPr>
              <w:rFonts w:ascii="RobotoCondensed-Regular" w:eastAsia="Calibri" w:hAnsi="RobotoCondensed-Regular" w:cs="RobotoCondensed-Regular"/>
              <w:kern w:val="0"/>
              <w:sz w:val="18"/>
              <w:szCs w:val="18"/>
            </w:rPr>
            <w:t>IČ: 15030865, DIČ: CZ15030865</w:t>
          </w:r>
        </w:p>
        <w:p w14:paraId="1858568A" w14:textId="77777777" w:rsidR="00C13498" w:rsidRDefault="00E3602F">
          <w:pPr>
            <w:pStyle w:val="Zhlav"/>
            <w:rPr>
              <w:rFonts w:ascii="RobotoCondensed-Regular" w:hAnsi="RobotoCondensed-Regular" w:cs="RobotoCondensed-Regular"/>
              <w:kern w:val="0"/>
              <w:sz w:val="8"/>
              <w:szCs w:val="8"/>
            </w:rPr>
          </w:pPr>
          <w:r>
            <w:rPr>
              <w:rFonts w:ascii="RobotoCondensed-Regular" w:eastAsia="Calibri" w:hAnsi="RobotoCondensed-Regular" w:cs="RobotoCondensed-Regular"/>
              <w:kern w:val="0"/>
              <w:sz w:val="18"/>
              <w:szCs w:val="18"/>
            </w:rPr>
            <w:t>Tel.: +420 465 519 411, sor@sor.cz</w:t>
          </w:r>
        </w:p>
        <w:p w14:paraId="0FFCB6EA" w14:textId="77777777" w:rsidR="00C13498" w:rsidRDefault="00C13498">
          <w:pPr>
            <w:pStyle w:val="Zhlav"/>
            <w:rPr>
              <w:rFonts w:ascii="RobotoCondensed-Regular" w:hAnsi="RobotoCondensed-Regular" w:cs="RobotoCondensed-Regular"/>
              <w:kern w:val="0"/>
              <w:sz w:val="8"/>
              <w:szCs w:val="8"/>
            </w:rPr>
          </w:pPr>
        </w:p>
        <w:p w14:paraId="6D01ED1F" w14:textId="77777777" w:rsidR="00C13498" w:rsidRDefault="00E3602F">
          <w:pPr>
            <w:pStyle w:val="Zhlav"/>
            <w:rPr>
              <w:color w:val="4CB848"/>
              <w:szCs w:val="20"/>
            </w:rPr>
          </w:pPr>
          <w:r>
            <w:rPr>
              <w:rFonts w:ascii="RobotoCondensed-Bold" w:eastAsia="Calibri" w:hAnsi="RobotoCondensed-Bold" w:cs="RobotoCondensed-Bold"/>
              <w:b/>
              <w:bCs/>
              <w:color w:val="4CB848"/>
              <w:kern w:val="0"/>
              <w:szCs w:val="20"/>
            </w:rPr>
            <w:t>www.sor.cz</w:t>
          </w:r>
        </w:p>
      </w:tc>
    </w:tr>
  </w:tbl>
  <w:p w14:paraId="6217A8B5" w14:textId="77777777" w:rsidR="00C13498" w:rsidRDefault="00C1349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10774" w:type="dxa"/>
      <w:tblInd w:w="-284" w:type="dxa"/>
      <w:tblLayout w:type="fixed"/>
      <w:tblLook w:val="04A0" w:firstRow="1" w:lastRow="0" w:firstColumn="1" w:lastColumn="0" w:noHBand="0" w:noVBand="1"/>
    </w:tblPr>
    <w:tblGrid>
      <w:gridCol w:w="4820"/>
      <w:gridCol w:w="2834"/>
      <w:gridCol w:w="3120"/>
    </w:tblGrid>
    <w:tr w:rsidR="00C13498" w14:paraId="60335CC7" w14:textId="77777777">
      <w:trPr>
        <w:trHeight w:val="1418"/>
      </w:trPr>
      <w:tc>
        <w:tcPr>
          <w:tcW w:w="4820" w:type="dxa"/>
          <w:tcBorders>
            <w:top w:val="nil"/>
            <w:left w:val="nil"/>
            <w:bottom w:val="single" w:sz="12" w:space="0" w:color="4CB848"/>
            <w:right w:val="nil"/>
          </w:tcBorders>
          <w:shd w:val="clear" w:color="auto" w:fill="FFFFFF" w:themeFill="background1"/>
        </w:tcPr>
        <w:p w14:paraId="19D7B6E3" w14:textId="77777777" w:rsidR="00C13498" w:rsidRDefault="00E3602F">
          <w:pPr>
            <w:pStyle w:val="Zhlav"/>
            <w:rPr>
              <w:sz w:val="10"/>
              <w:szCs w:val="10"/>
            </w:rPr>
          </w:pPr>
          <w:r>
            <w:rPr>
              <w:rFonts w:eastAsia="Calibri"/>
              <w:noProof/>
            </w:rPr>
            <w:drawing>
              <wp:inline distT="0" distB="0" distL="0" distR="0" wp14:anchorId="2D12477C" wp14:editId="314D1C97">
                <wp:extent cx="819150" cy="483235"/>
                <wp:effectExtent l="0" t="0" r="0" b="0"/>
                <wp:docPr id="2" name="Obrázek 970615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970615117"/>
                        <pic:cNvPicPr>
                          <a:picLocks noChangeAspect="1" noChangeArrowheads="1"/>
                        </pic:cNvPicPr>
                      </pic:nvPicPr>
                      <pic:blipFill>
                        <a:blip r:embed="rId1"/>
                        <a:stretch>
                          <a:fillRect/>
                        </a:stretch>
                      </pic:blipFill>
                      <pic:spPr bwMode="auto">
                        <a:xfrm>
                          <a:off x="0" y="0"/>
                          <a:ext cx="819150" cy="483235"/>
                        </a:xfrm>
                        <a:prstGeom prst="rect">
                          <a:avLst/>
                        </a:prstGeom>
                      </pic:spPr>
                    </pic:pic>
                  </a:graphicData>
                </a:graphic>
              </wp:inline>
            </w:drawing>
          </w:r>
        </w:p>
        <w:p w14:paraId="038FEF7F" w14:textId="77777777" w:rsidR="00C13498" w:rsidRDefault="00C13498">
          <w:pPr>
            <w:pStyle w:val="Zhlav"/>
            <w:rPr>
              <w:sz w:val="10"/>
              <w:szCs w:val="10"/>
            </w:rPr>
          </w:pPr>
        </w:p>
        <w:p w14:paraId="43E3841F" w14:textId="77777777" w:rsidR="00C13498" w:rsidRDefault="00E3602F">
          <w:pPr>
            <w:pStyle w:val="Zhlav"/>
            <w:rPr>
              <w:sz w:val="16"/>
              <w:szCs w:val="16"/>
            </w:rPr>
          </w:pPr>
          <w:r>
            <w:rPr>
              <w:rFonts w:eastAsia="Calibri"/>
              <w:sz w:val="16"/>
              <w:szCs w:val="16"/>
            </w:rPr>
            <w:t>MPQ 840-2 Příloha 3</w:t>
          </w:r>
        </w:p>
        <w:p w14:paraId="0A5080D1" w14:textId="77777777" w:rsidR="00C13498" w:rsidRDefault="00E3602F">
          <w:pPr>
            <w:pStyle w:val="Zhlav"/>
            <w:rPr>
              <w:sz w:val="16"/>
              <w:szCs w:val="16"/>
            </w:rPr>
          </w:pPr>
          <w:r>
            <w:rPr>
              <w:rFonts w:eastAsia="Calibri"/>
              <w:sz w:val="16"/>
              <w:szCs w:val="16"/>
            </w:rPr>
            <w:t>Document classification: Public</w:t>
          </w:r>
        </w:p>
      </w:tc>
      <w:tc>
        <w:tcPr>
          <w:tcW w:w="2834" w:type="dxa"/>
          <w:tcBorders>
            <w:top w:val="nil"/>
            <w:left w:val="nil"/>
            <w:bottom w:val="single" w:sz="12" w:space="0" w:color="4CB848"/>
            <w:right w:val="nil"/>
          </w:tcBorders>
          <w:shd w:val="clear" w:color="auto" w:fill="FFFFFF" w:themeFill="background1"/>
        </w:tcPr>
        <w:p w14:paraId="4D6A8673" w14:textId="77777777" w:rsidR="00C13498" w:rsidRDefault="00C13498">
          <w:pPr>
            <w:pStyle w:val="Zhlav"/>
            <w:jc w:val="center"/>
            <w:rPr>
              <w:sz w:val="32"/>
              <w:szCs w:val="32"/>
            </w:rPr>
          </w:pPr>
        </w:p>
      </w:tc>
      <w:tc>
        <w:tcPr>
          <w:tcW w:w="3120" w:type="dxa"/>
          <w:tcBorders>
            <w:top w:val="nil"/>
            <w:left w:val="nil"/>
            <w:bottom w:val="single" w:sz="12" w:space="0" w:color="4CB848"/>
            <w:right w:val="nil"/>
          </w:tcBorders>
          <w:shd w:val="clear" w:color="auto" w:fill="FFFFFF" w:themeFill="background1"/>
        </w:tcPr>
        <w:p w14:paraId="0AB4D048" w14:textId="77777777" w:rsidR="00C13498" w:rsidRDefault="00E3602F">
          <w:pPr>
            <w:spacing w:after="0" w:line="240" w:lineRule="auto"/>
            <w:rPr>
              <w:rFonts w:ascii="RobotoCondensed-Regular" w:hAnsi="RobotoCondensed-Regular" w:cs="RobotoCondensed-Regular"/>
              <w:kern w:val="0"/>
              <w:sz w:val="18"/>
              <w:szCs w:val="18"/>
            </w:rPr>
          </w:pPr>
          <w:r>
            <w:rPr>
              <w:rFonts w:ascii="RobotoCondensed-Regular" w:eastAsia="Calibri" w:hAnsi="RobotoCondensed-Regular" w:cs="RobotoCondensed-Regular"/>
              <w:kern w:val="0"/>
              <w:sz w:val="18"/>
              <w:szCs w:val="18"/>
            </w:rPr>
            <w:t>SOR Libchavy spol. s r.o.</w:t>
          </w:r>
        </w:p>
        <w:p w14:paraId="55A72037" w14:textId="77777777" w:rsidR="00C13498" w:rsidRDefault="00E3602F">
          <w:pPr>
            <w:spacing w:after="0" w:line="240" w:lineRule="auto"/>
            <w:rPr>
              <w:rFonts w:ascii="RobotoCondensed-Regular" w:hAnsi="RobotoCondensed-Regular" w:cs="RobotoCondensed-Regular"/>
              <w:kern w:val="0"/>
              <w:sz w:val="18"/>
              <w:szCs w:val="18"/>
            </w:rPr>
          </w:pPr>
          <w:r>
            <w:rPr>
              <w:rFonts w:ascii="RobotoCondensed-Regular" w:eastAsia="Calibri" w:hAnsi="RobotoCondensed-Regular" w:cs="RobotoCondensed-Regular"/>
              <w:kern w:val="0"/>
              <w:sz w:val="18"/>
              <w:szCs w:val="18"/>
            </w:rPr>
            <w:t>Dolní Libchavy 48, 561 16 Libchavy</w:t>
          </w:r>
        </w:p>
        <w:p w14:paraId="078BB174" w14:textId="77777777" w:rsidR="00C13498" w:rsidRDefault="00E3602F">
          <w:pPr>
            <w:spacing w:after="0" w:line="240" w:lineRule="auto"/>
            <w:rPr>
              <w:rFonts w:ascii="RobotoCondensed-Regular" w:hAnsi="RobotoCondensed-Regular" w:cs="RobotoCondensed-Regular"/>
              <w:kern w:val="0"/>
              <w:sz w:val="18"/>
              <w:szCs w:val="18"/>
            </w:rPr>
          </w:pPr>
          <w:r>
            <w:rPr>
              <w:rFonts w:ascii="RobotoCondensed-Regular" w:eastAsia="Calibri" w:hAnsi="RobotoCondensed-Regular" w:cs="RobotoCondensed-Regular"/>
              <w:kern w:val="0"/>
              <w:sz w:val="18"/>
              <w:szCs w:val="18"/>
            </w:rPr>
            <w:t>IČ: 15030865, DIČ: CZ15030865</w:t>
          </w:r>
        </w:p>
        <w:p w14:paraId="15236FF5" w14:textId="77777777" w:rsidR="00C13498" w:rsidRDefault="00E3602F">
          <w:pPr>
            <w:pStyle w:val="Zhlav"/>
            <w:rPr>
              <w:rFonts w:ascii="RobotoCondensed-Regular" w:hAnsi="RobotoCondensed-Regular" w:cs="RobotoCondensed-Regular"/>
              <w:kern w:val="0"/>
              <w:sz w:val="8"/>
              <w:szCs w:val="8"/>
            </w:rPr>
          </w:pPr>
          <w:r>
            <w:rPr>
              <w:rFonts w:ascii="RobotoCondensed-Regular" w:eastAsia="Calibri" w:hAnsi="RobotoCondensed-Regular" w:cs="RobotoCondensed-Regular"/>
              <w:kern w:val="0"/>
              <w:sz w:val="18"/>
              <w:szCs w:val="18"/>
            </w:rPr>
            <w:t>Tel.: +420 465 519 411, sor@sor.cz</w:t>
          </w:r>
        </w:p>
        <w:p w14:paraId="0B8AC20E" w14:textId="77777777" w:rsidR="00C13498" w:rsidRDefault="00C13498">
          <w:pPr>
            <w:pStyle w:val="Zhlav"/>
            <w:rPr>
              <w:rFonts w:ascii="RobotoCondensed-Regular" w:hAnsi="RobotoCondensed-Regular" w:cs="RobotoCondensed-Regular"/>
              <w:kern w:val="0"/>
              <w:sz w:val="8"/>
              <w:szCs w:val="8"/>
            </w:rPr>
          </w:pPr>
        </w:p>
        <w:p w14:paraId="65434177" w14:textId="77777777" w:rsidR="00C13498" w:rsidRDefault="00E3602F">
          <w:pPr>
            <w:pStyle w:val="Zhlav"/>
            <w:rPr>
              <w:color w:val="4CB848"/>
              <w:szCs w:val="20"/>
            </w:rPr>
          </w:pPr>
          <w:r>
            <w:rPr>
              <w:rFonts w:ascii="RobotoCondensed-Bold" w:eastAsia="Calibri" w:hAnsi="RobotoCondensed-Bold" w:cs="RobotoCondensed-Bold"/>
              <w:b/>
              <w:bCs/>
              <w:color w:val="4CB848"/>
              <w:kern w:val="0"/>
              <w:szCs w:val="20"/>
            </w:rPr>
            <w:t>www.sor.cz</w:t>
          </w:r>
        </w:p>
      </w:tc>
    </w:tr>
  </w:tbl>
  <w:p w14:paraId="2D7B235F" w14:textId="77777777" w:rsidR="00C13498" w:rsidRDefault="00C1349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5C66"/>
    <w:multiLevelType w:val="multilevel"/>
    <w:tmpl w:val="0AAA9F56"/>
    <w:lvl w:ilvl="0">
      <w:start w:val="1"/>
      <w:numFmt w:val="ordin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CB4329"/>
    <w:multiLevelType w:val="multilevel"/>
    <w:tmpl w:val="944E0F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8B6B43"/>
    <w:multiLevelType w:val="multilevel"/>
    <w:tmpl w:val="5078731C"/>
    <w:lvl w:ilvl="0">
      <w:start w:val="1"/>
      <w:numFmt w:val="ordin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A76484"/>
    <w:multiLevelType w:val="multilevel"/>
    <w:tmpl w:val="BEBCD02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4" w15:restartNumberingAfterBreak="0">
    <w:nsid w:val="2B40662B"/>
    <w:multiLevelType w:val="multilevel"/>
    <w:tmpl w:val="AD2E4274"/>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15:restartNumberingAfterBreak="0">
    <w:nsid w:val="2D0C5F7D"/>
    <w:multiLevelType w:val="hybridMultilevel"/>
    <w:tmpl w:val="08201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E31777E"/>
    <w:multiLevelType w:val="multilevel"/>
    <w:tmpl w:val="DBAAC8DA"/>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7" w15:restartNumberingAfterBreak="0">
    <w:nsid w:val="4FC20423"/>
    <w:multiLevelType w:val="multilevel"/>
    <w:tmpl w:val="9E269B0C"/>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2A679D2"/>
    <w:multiLevelType w:val="multilevel"/>
    <w:tmpl w:val="71A6807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 w15:restartNumberingAfterBreak="0">
    <w:nsid w:val="796E4586"/>
    <w:multiLevelType w:val="multilevel"/>
    <w:tmpl w:val="E7266274"/>
    <w:lvl w:ilvl="0">
      <w:start w:val="1"/>
      <w:numFmt w:val="decimal"/>
      <w:pStyle w:val="Nadpis1"/>
      <w:lvlText w:val="%1"/>
      <w:lvlJc w:val="left"/>
      <w:pPr>
        <w:tabs>
          <w:tab w:val="num" w:pos="0"/>
        </w:tabs>
        <w:ind w:left="432" w:hanging="432"/>
      </w:pPr>
    </w:lvl>
    <w:lvl w:ilvl="1">
      <w:start w:val="1"/>
      <w:numFmt w:val="decimal"/>
      <w:pStyle w:val="Nadpis2"/>
      <w:lvlText w:val="%1.%2"/>
      <w:lvlJc w:val="left"/>
      <w:pPr>
        <w:tabs>
          <w:tab w:val="num" w:pos="0"/>
        </w:tabs>
        <w:ind w:left="576" w:hanging="576"/>
      </w:pPr>
    </w:lvl>
    <w:lvl w:ilvl="2">
      <w:start w:val="1"/>
      <w:numFmt w:val="decimal"/>
      <w:pStyle w:val="Nadpis3"/>
      <w:lvlText w:val="%1.%2.%3"/>
      <w:lvlJc w:val="left"/>
      <w:pPr>
        <w:tabs>
          <w:tab w:val="num" w:pos="0"/>
        </w:tabs>
        <w:ind w:left="720" w:hanging="720"/>
      </w:p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10" w15:restartNumberingAfterBreak="0">
    <w:nsid w:val="7F91316B"/>
    <w:multiLevelType w:val="hybridMultilevel"/>
    <w:tmpl w:val="1CBEF196"/>
    <w:lvl w:ilvl="0" w:tplc="04050001">
      <w:start w:val="1"/>
      <w:numFmt w:val="bullet"/>
      <w:lvlText w:val=""/>
      <w:lvlJc w:val="left"/>
      <w:pPr>
        <w:ind w:left="1040" w:hanging="360"/>
      </w:pPr>
      <w:rPr>
        <w:rFonts w:ascii="Symbol" w:hAnsi="Symbol" w:hint="default"/>
      </w:rPr>
    </w:lvl>
    <w:lvl w:ilvl="1" w:tplc="04050003">
      <w:start w:val="1"/>
      <w:numFmt w:val="bullet"/>
      <w:lvlText w:val="o"/>
      <w:lvlJc w:val="left"/>
      <w:pPr>
        <w:ind w:left="1760" w:hanging="360"/>
      </w:pPr>
      <w:rPr>
        <w:rFonts w:ascii="Courier New" w:hAnsi="Courier New" w:cs="Courier New" w:hint="default"/>
      </w:rPr>
    </w:lvl>
    <w:lvl w:ilvl="2" w:tplc="04050005" w:tentative="1">
      <w:start w:val="1"/>
      <w:numFmt w:val="bullet"/>
      <w:lvlText w:val=""/>
      <w:lvlJc w:val="left"/>
      <w:pPr>
        <w:ind w:left="2480" w:hanging="360"/>
      </w:pPr>
      <w:rPr>
        <w:rFonts w:ascii="Wingdings" w:hAnsi="Wingdings" w:hint="default"/>
      </w:rPr>
    </w:lvl>
    <w:lvl w:ilvl="3" w:tplc="04050001" w:tentative="1">
      <w:start w:val="1"/>
      <w:numFmt w:val="bullet"/>
      <w:lvlText w:val=""/>
      <w:lvlJc w:val="left"/>
      <w:pPr>
        <w:ind w:left="3200" w:hanging="360"/>
      </w:pPr>
      <w:rPr>
        <w:rFonts w:ascii="Symbol" w:hAnsi="Symbol" w:hint="default"/>
      </w:rPr>
    </w:lvl>
    <w:lvl w:ilvl="4" w:tplc="04050003" w:tentative="1">
      <w:start w:val="1"/>
      <w:numFmt w:val="bullet"/>
      <w:lvlText w:val="o"/>
      <w:lvlJc w:val="left"/>
      <w:pPr>
        <w:ind w:left="3920" w:hanging="360"/>
      </w:pPr>
      <w:rPr>
        <w:rFonts w:ascii="Courier New" w:hAnsi="Courier New" w:cs="Courier New" w:hint="default"/>
      </w:rPr>
    </w:lvl>
    <w:lvl w:ilvl="5" w:tplc="04050005" w:tentative="1">
      <w:start w:val="1"/>
      <w:numFmt w:val="bullet"/>
      <w:lvlText w:val=""/>
      <w:lvlJc w:val="left"/>
      <w:pPr>
        <w:ind w:left="4640" w:hanging="360"/>
      </w:pPr>
      <w:rPr>
        <w:rFonts w:ascii="Wingdings" w:hAnsi="Wingdings" w:hint="default"/>
      </w:rPr>
    </w:lvl>
    <w:lvl w:ilvl="6" w:tplc="04050001" w:tentative="1">
      <w:start w:val="1"/>
      <w:numFmt w:val="bullet"/>
      <w:lvlText w:val=""/>
      <w:lvlJc w:val="left"/>
      <w:pPr>
        <w:ind w:left="5360" w:hanging="360"/>
      </w:pPr>
      <w:rPr>
        <w:rFonts w:ascii="Symbol" w:hAnsi="Symbol" w:hint="default"/>
      </w:rPr>
    </w:lvl>
    <w:lvl w:ilvl="7" w:tplc="04050003" w:tentative="1">
      <w:start w:val="1"/>
      <w:numFmt w:val="bullet"/>
      <w:lvlText w:val="o"/>
      <w:lvlJc w:val="left"/>
      <w:pPr>
        <w:ind w:left="6080" w:hanging="360"/>
      </w:pPr>
      <w:rPr>
        <w:rFonts w:ascii="Courier New" w:hAnsi="Courier New" w:cs="Courier New" w:hint="default"/>
      </w:rPr>
    </w:lvl>
    <w:lvl w:ilvl="8" w:tplc="04050005" w:tentative="1">
      <w:start w:val="1"/>
      <w:numFmt w:val="bullet"/>
      <w:lvlText w:val=""/>
      <w:lvlJc w:val="left"/>
      <w:pPr>
        <w:ind w:left="6800" w:hanging="360"/>
      </w:pPr>
      <w:rPr>
        <w:rFonts w:ascii="Wingdings" w:hAnsi="Wingdings" w:hint="default"/>
      </w:rPr>
    </w:lvl>
  </w:abstractNum>
  <w:num w:numId="1" w16cid:durableId="1349523740">
    <w:abstractNumId w:val="9"/>
  </w:num>
  <w:num w:numId="2" w16cid:durableId="2107070920">
    <w:abstractNumId w:val="0"/>
  </w:num>
  <w:num w:numId="3" w16cid:durableId="1211721033">
    <w:abstractNumId w:val="7"/>
  </w:num>
  <w:num w:numId="4" w16cid:durableId="1495223478">
    <w:abstractNumId w:val="1"/>
  </w:num>
  <w:num w:numId="5" w16cid:durableId="1993676546">
    <w:abstractNumId w:val="2"/>
  </w:num>
  <w:num w:numId="6" w16cid:durableId="291328641">
    <w:abstractNumId w:val="6"/>
  </w:num>
  <w:num w:numId="7" w16cid:durableId="79450190">
    <w:abstractNumId w:val="3"/>
  </w:num>
  <w:num w:numId="8" w16cid:durableId="1465663042">
    <w:abstractNumId w:val="4"/>
  </w:num>
  <w:num w:numId="9" w16cid:durableId="2041516357">
    <w:abstractNumId w:val="8"/>
  </w:num>
  <w:num w:numId="10" w16cid:durableId="1948807206">
    <w:abstractNumId w:val="5"/>
  </w:num>
  <w:num w:numId="11" w16cid:durableId="21447375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68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98"/>
    <w:rsid w:val="00077B3D"/>
    <w:rsid w:val="001A378F"/>
    <w:rsid w:val="002E0085"/>
    <w:rsid w:val="003347C6"/>
    <w:rsid w:val="00566612"/>
    <w:rsid w:val="00593F8A"/>
    <w:rsid w:val="00671B92"/>
    <w:rsid w:val="0067496F"/>
    <w:rsid w:val="007329AD"/>
    <w:rsid w:val="007B4C20"/>
    <w:rsid w:val="00C00014"/>
    <w:rsid w:val="00C13498"/>
    <w:rsid w:val="00E3602F"/>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DBDB"/>
  <w15:docId w15:val="{8A7EC689-081B-4AF8-90DA-9C0298B0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6096"/>
    <w:pPr>
      <w:spacing w:after="60" w:line="288" w:lineRule="auto"/>
    </w:pPr>
    <w:rPr>
      <w:rFonts w:ascii="Arial CE" w:hAnsi="Arial CE"/>
      <w:sz w:val="20"/>
    </w:rPr>
  </w:style>
  <w:style w:type="paragraph" w:styleId="Nadpis1">
    <w:name w:val="heading 1"/>
    <w:basedOn w:val="Normln"/>
    <w:next w:val="Normln"/>
    <w:link w:val="Nadpis1Char"/>
    <w:autoRedefine/>
    <w:uiPriority w:val="9"/>
    <w:qFormat/>
    <w:rsid w:val="00AF1C01"/>
    <w:pPr>
      <w:keepNext/>
      <w:keepLines/>
      <w:numPr>
        <w:numId w:val="1"/>
      </w:numPr>
      <w:spacing w:before="120"/>
      <w:outlineLvl w:val="0"/>
    </w:pPr>
    <w:rPr>
      <w:rFonts w:eastAsiaTheme="majorEastAsia" w:cstheme="majorBidi"/>
      <w:sz w:val="36"/>
      <w:szCs w:val="32"/>
    </w:rPr>
  </w:style>
  <w:style w:type="paragraph" w:styleId="Nadpis2">
    <w:name w:val="heading 2"/>
    <w:basedOn w:val="Normln"/>
    <w:next w:val="Normln"/>
    <w:link w:val="Nadpis2Char"/>
    <w:autoRedefine/>
    <w:uiPriority w:val="9"/>
    <w:unhideWhenUsed/>
    <w:qFormat/>
    <w:rsid w:val="00AF1C01"/>
    <w:pPr>
      <w:keepNext/>
      <w:keepLines/>
      <w:numPr>
        <w:ilvl w:val="1"/>
        <w:numId w:val="1"/>
      </w:numPr>
      <w:spacing w:before="60"/>
      <w:outlineLvl w:val="1"/>
    </w:pPr>
    <w:rPr>
      <w:rFonts w:eastAsiaTheme="majorEastAsia" w:cstheme="majorBidi"/>
      <w:sz w:val="32"/>
      <w:szCs w:val="26"/>
    </w:rPr>
  </w:style>
  <w:style w:type="paragraph" w:styleId="Nadpis3">
    <w:name w:val="heading 3"/>
    <w:basedOn w:val="Normln"/>
    <w:next w:val="Normln"/>
    <w:link w:val="Nadpis3Char"/>
    <w:autoRedefine/>
    <w:uiPriority w:val="9"/>
    <w:unhideWhenUsed/>
    <w:qFormat/>
    <w:rsid w:val="004D2260"/>
    <w:pPr>
      <w:keepNext/>
      <w:keepLines/>
      <w:numPr>
        <w:ilvl w:val="2"/>
        <w:numId w:val="1"/>
      </w:numPr>
      <w:spacing w:before="60"/>
      <w:outlineLvl w:val="2"/>
    </w:pPr>
    <w:rPr>
      <w:rFonts w:eastAsiaTheme="majorEastAsia" w:cstheme="majorBidi"/>
      <w:sz w:val="28"/>
      <w:szCs w:val="24"/>
    </w:rPr>
  </w:style>
  <w:style w:type="paragraph" w:styleId="Nadpis4">
    <w:name w:val="heading 4"/>
    <w:basedOn w:val="Normln"/>
    <w:next w:val="Normln"/>
    <w:link w:val="Nadpis4Char"/>
    <w:autoRedefine/>
    <w:uiPriority w:val="9"/>
    <w:unhideWhenUsed/>
    <w:qFormat/>
    <w:rsid w:val="007E20C1"/>
    <w:pPr>
      <w:keepNext/>
      <w:keepLines/>
      <w:numPr>
        <w:ilvl w:val="3"/>
        <w:numId w:val="1"/>
      </w:numPr>
      <w:spacing w:before="60"/>
      <w:outlineLvl w:val="3"/>
    </w:pPr>
    <w:rPr>
      <w:rFonts w:eastAsiaTheme="majorEastAsia" w:cstheme="majorBidi"/>
      <w:iCs/>
      <w:sz w:val="24"/>
    </w:rPr>
  </w:style>
  <w:style w:type="paragraph" w:styleId="Nadpis5">
    <w:name w:val="heading 5"/>
    <w:basedOn w:val="Normln"/>
    <w:next w:val="Normln"/>
    <w:link w:val="Nadpis5Char"/>
    <w:uiPriority w:val="9"/>
    <w:semiHidden/>
    <w:unhideWhenUsed/>
    <w:qFormat/>
    <w:rsid w:val="0032566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32566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32566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32566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32566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244380"/>
  </w:style>
  <w:style w:type="character" w:customStyle="1" w:styleId="ZpatChar">
    <w:name w:val="Zápatí Char"/>
    <w:basedOn w:val="Standardnpsmoodstavce"/>
    <w:link w:val="Zpat"/>
    <w:uiPriority w:val="99"/>
    <w:qFormat/>
    <w:rsid w:val="00244380"/>
  </w:style>
  <w:style w:type="character" w:customStyle="1" w:styleId="Nadpis1Char">
    <w:name w:val="Nadpis 1 Char"/>
    <w:basedOn w:val="Standardnpsmoodstavce"/>
    <w:link w:val="Nadpis1"/>
    <w:uiPriority w:val="9"/>
    <w:qFormat/>
    <w:rsid w:val="00AF1C01"/>
    <w:rPr>
      <w:rFonts w:ascii="Arial CE" w:eastAsiaTheme="majorEastAsia" w:hAnsi="Arial CE" w:cstheme="majorBidi"/>
      <w:sz w:val="36"/>
      <w:szCs w:val="32"/>
    </w:rPr>
  </w:style>
  <w:style w:type="character" w:customStyle="1" w:styleId="Nadpis2Char">
    <w:name w:val="Nadpis 2 Char"/>
    <w:basedOn w:val="Standardnpsmoodstavce"/>
    <w:link w:val="Nadpis2"/>
    <w:uiPriority w:val="9"/>
    <w:qFormat/>
    <w:rsid w:val="00AF1C01"/>
    <w:rPr>
      <w:rFonts w:ascii="Arial CE" w:eastAsiaTheme="majorEastAsia" w:hAnsi="Arial CE" w:cstheme="majorBidi"/>
      <w:sz w:val="32"/>
      <w:szCs w:val="26"/>
    </w:rPr>
  </w:style>
  <w:style w:type="character" w:customStyle="1" w:styleId="Nadpis3Char">
    <w:name w:val="Nadpis 3 Char"/>
    <w:basedOn w:val="Standardnpsmoodstavce"/>
    <w:link w:val="Nadpis3"/>
    <w:uiPriority w:val="9"/>
    <w:qFormat/>
    <w:rsid w:val="004D2260"/>
    <w:rPr>
      <w:rFonts w:ascii="Arial CE" w:eastAsiaTheme="majorEastAsia" w:hAnsi="Arial CE" w:cstheme="majorBidi"/>
      <w:sz w:val="28"/>
      <w:szCs w:val="24"/>
    </w:rPr>
  </w:style>
  <w:style w:type="character" w:customStyle="1" w:styleId="Nadpis4Char">
    <w:name w:val="Nadpis 4 Char"/>
    <w:basedOn w:val="Standardnpsmoodstavce"/>
    <w:link w:val="Nadpis4"/>
    <w:uiPriority w:val="9"/>
    <w:qFormat/>
    <w:rsid w:val="007E20C1"/>
    <w:rPr>
      <w:rFonts w:ascii="Arial CE" w:eastAsiaTheme="majorEastAsia" w:hAnsi="Arial CE" w:cstheme="majorBidi"/>
      <w:iCs/>
      <w:sz w:val="24"/>
    </w:rPr>
  </w:style>
  <w:style w:type="character" w:customStyle="1" w:styleId="Nadpis5Char">
    <w:name w:val="Nadpis 5 Char"/>
    <w:basedOn w:val="Standardnpsmoodstavce"/>
    <w:link w:val="Nadpis5"/>
    <w:uiPriority w:val="9"/>
    <w:semiHidden/>
    <w:qFormat/>
    <w:rsid w:val="00325665"/>
    <w:rPr>
      <w:rFonts w:asciiTheme="majorHAnsi" w:eastAsiaTheme="majorEastAsia" w:hAnsiTheme="majorHAnsi" w:cstheme="majorBidi"/>
      <w:color w:val="2F5496" w:themeColor="accent1" w:themeShade="BF"/>
      <w:sz w:val="20"/>
    </w:rPr>
  </w:style>
  <w:style w:type="character" w:customStyle="1" w:styleId="Nadpis6Char">
    <w:name w:val="Nadpis 6 Char"/>
    <w:basedOn w:val="Standardnpsmoodstavce"/>
    <w:link w:val="Nadpis6"/>
    <w:uiPriority w:val="9"/>
    <w:semiHidden/>
    <w:qFormat/>
    <w:rsid w:val="00325665"/>
    <w:rPr>
      <w:rFonts w:asciiTheme="majorHAnsi" w:eastAsiaTheme="majorEastAsia" w:hAnsiTheme="majorHAnsi" w:cstheme="majorBidi"/>
      <w:color w:val="1F3763" w:themeColor="accent1" w:themeShade="7F"/>
      <w:sz w:val="20"/>
    </w:rPr>
  </w:style>
  <w:style w:type="character" w:customStyle="1" w:styleId="Nadpis7Char">
    <w:name w:val="Nadpis 7 Char"/>
    <w:basedOn w:val="Standardnpsmoodstavce"/>
    <w:link w:val="Nadpis7"/>
    <w:uiPriority w:val="9"/>
    <w:semiHidden/>
    <w:qFormat/>
    <w:rsid w:val="00325665"/>
    <w:rPr>
      <w:rFonts w:asciiTheme="majorHAnsi" w:eastAsiaTheme="majorEastAsia" w:hAnsiTheme="majorHAnsi" w:cstheme="majorBidi"/>
      <w:i/>
      <w:iCs/>
      <w:color w:val="1F3763" w:themeColor="accent1" w:themeShade="7F"/>
      <w:sz w:val="20"/>
    </w:rPr>
  </w:style>
  <w:style w:type="character" w:customStyle="1" w:styleId="Nadpis8Char">
    <w:name w:val="Nadpis 8 Char"/>
    <w:basedOn w:val="Standardnpsmoodstavce"/>
    <w:link w:val="Nadpis8"/>
    <w:uiPriority w:val="9"/>
    <w:semiHidden/>
    <w:qFormat/>
    <w:rsid w:val="0032566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qFormat/>
    <w:rsid w:val="00325665"/>
    <w:rPr>
      <w:rFonts w:asciiTheme="majorHAnsi" w:eastAsiaTheme="majorEastAsia" w:hAnsiTheme="majorHAnsi" w:cstheme="majorBidi"/>
      <w:i/>
      <w:iCs/>
      <w:color w:val="272727" w:themeColor="text1" w:themeTint="D8"/>
      <w:sz w:val="21"/>
      <w:szCs w:val="21"/>
    </w:rPr>
  </w:style>
  <w:style w:type="character" w:customStyle="1" w:styleId="VelkChar">
    <w:name w:val="Velké Char"/>
    <w:basedOn w:val="Standardnpsmoodstavce"/>
    <w:link w:val="Velk"/>
    <w:qFormat/>
    <w:rsid w:val="00476096"/>
    <w:rPr>
      <w:rFonts w:ascii="Arial CE" w:hAnsi="Arial CE"/>
      <w:sz w:val="36"/>
      <w:szCs w:val="24"/>
    </w:rPr>
  </w:style>
  <w:style w:type="character" w:customStyle="1" w:styleId="Velk2Char">
    <w:name w:val="Velké 2 Char"/>
    <w:basedOn w:val="Standardnpsmoodstavce"/>
    <w:link w:val="Velk2"/>
    <w:qFormat/>
    <w:rsid w:val="00566612"/>
    <w:rPr>
      <w:rFonts w:ascii="Arial CE" w:hAnsi="Arial CE" w:cs="Arial CE"/>
      <w:sz w:val="28"/>
      <w:lang w:val="en-US"/>
    </w:rPr>
  </w:style>
  <w:style w:type="character" w:styleId="Hypertextovodkaz">
    <w:name w:val="Hyperlink"/>
    <w:basedOn w:val="Standardnpsmoodstavce"/>
    <w:uiPriority w:val="99"/>
    <w:unhideWhenUsed/>
    <w:rsid w:val="006F350D"/>
    <w:rPr>
      <w:color w:val="0563C1" w:themeColor="hyperlink"/>
      <w:u w:val="single"/>
    </w:rPr>
  </w:style>
  <w:style w:type="character" w:styleId="Nevyeenzmnka">
    <w:name w:val="Unresolved Mention"/>
    <w:basedOn w:val="Standardnpsmoodstavce"/>
    <w:uiPriority w:val="99"/>
    <w:semiHidden/>
    <w:unhideWhenUsed/>
    <w:qFormat/>
    <w:rsid w:val="006F350D"/>
    <w:rPr>
      <w:color w:val="605E5C"/>
      <w:shd w:val="clear" w:color="auto" w:fill="E1DFDD"/>
    </w:rPr>
  </w:style>
  <w:style w:type="character" w:customStyle="1" w:styleId="OdstavecseseznamemChar">
    <w:name w:val="Odstavec se seznamem Char"/>
    <w:basedOn w:val="Standardnpsmoodstavce"/>
    <w:link w:val="Odstavecseseznamem"/>
    <w:uiPriority w:val="34"/>
    <w:qFormat/>
    <w:locked/>
    <w:rsid w:val="007F4FA1"/>
    <w:rPr>
      <w:kern w:val="0"/>
      <w14:ligatures w14:val="none"/>
    </w:rPr>
  </w:style>
  <w:style w:type="character" w:styleId="Sledovanodkaz">
    <w:name w:val="FollowedHyperlink"/>
    <w:basedOn w:val="Standardnpsmoodstavce"/>
    <w:uiPriority w:val="99"/>
    <w:semiHidden/>
    <w:unhideWhenUsed/>
    <w:rsid w:val="000F470F"/>
    <w:rPr>
      <w:color w:val="954F72" w:themeColor="followedHyperlink"/>
      <w:u w:val="single"/>
    </w:rPr>
  </w:style>
  <w:style w:type="character" w:customStyle="1" w:styleId="NumberingSymbols">
    <w:name w:val="Numbering Symbols"/>
    <w:qFormat/>
  </w:style>
  <w:style w:type="character" w:customStyle="1" w:styleId="Bullets">
    <w:name w:val="Bullets"/>
    <w:rPr>
      <w:rFonts w:ascii="OpenSymbol" w:eastAsia="OpenSymbol" w:hAnsi="OpenSymbol" w:cs="OpenSymbol"/>
    </w:rPr>
  </w:style>
  <w:style w:type="paragraph" w:customStyle="1" w:styleId="Heading">
    <w:name w:val="Heading"/>
    <w:basedOn w:val="Normln"/>
    <w:next w:val="Zkladntext"/>
    <w:pPr>
      <w:keepNext/>
      <w:spacing w:before="240" w:after="120"/>
    </w:pPr>
    <w:rPr>
      <w:rFonts w:ascii="Liberation Sans" w:eastAsia="PingFang SC" w:hAnsi="Liberation Sans" w:cs="Arial Unicode MS"/>
      <w:sz w:val="28"/>
      <w:szCs w:val="28"/>
    </w:rPr>
  </w:style>
  <w:style w:type="paragraph" w:styleId="Zkladntext">
    <w:name w:val="Body Text"/>
    <w:basedOn w:val="Normln"/>
    <w:pPr>
      <w:spacing w:after="140" w:line="276" w:lineRule="auto"/>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Index">
    <w:name w:val="Index"/>
    <w:basedOn w:val="Normln"/>
    <w:pPr>
      <w:suppressLineNumbers/>
    </w:pPr>
    <w:rPr>
      <w:rFonts w:cs="Arial Unicode MS"/>
    </w:rPr>
  </w:style>
  <w:style w:type="paragraph" w:customStyle="1" w:styleId="HeaderandFooter">
    <w:name w:val="Header and Footer"/>
    <w:basedOn w:val="Normln"/>
  </w:style>
  <w:style w:type="paragraph" w:styleId="Zhlav">
    <w:name w:val="header"/>
    <w:basedOn w:val="Normln"/>
    <w:link w:val="ZhlavChar"/>
    <w:uiPriority w:val="99"/>
    <w:unhideWhenUsed/>
    <w:rsid w:val="00244380"/>
    <w:pPr>
      <w:tabs>
        <w:tab w:val="center" w:pos="4536"/>
        <w:tab w:val="right" w:pos="9072"/>
      </w:tabs>
      <w:spacing w:after="0" w:line="240" w:lineRule="auto"/>
    </w:pPr>
  </w:style>
  <w:style w:type="paragraph" w:styleId="Zpat">
    <w:name w:val="footer"/>
    <w:basedOn w:val="Normln"/>
    <w:link w:val="ZpatChar"/>
    <w:uiPriority w:val="99"/>
    <w:unhideWhenUsed/>
    <w:rsid w:val="00244380"/>
    <w:pPr>
      <w:tabs>
        <w:tab w:val="center" w:pos="4536"/>
        <w:tab w:val="right" w:pos="9072"/>
      </w:tabs>
      <w:spacing w:after="0" w:line="240" w:lineRule="auto"/>
    </w:pPr>
  </w:style>
  <w:style w:type="paragraph" w:customStyle="1" w:styleId="Velk">
    <w:name w:val="Velké"/>
    <w:basedOn w:val="Normln"/>
    <w:link w:val="VelkChar"/>
    <w:autoRedefine/>
    <w:qFormat/>
    <w:rsid w:val="00476096"/>
    <w:pPr>
      <w:spacing w:before="60" w:line="264" w:lineRule="auto"/>
      <w:jc w:val="center"/>
    </w:pPr>
    <w:rPr>
      <w:sz w:val="36"/>
      <w:szCs w:val="24"/>
    </w:rPr>
  </w:style>
  <w:style w:type="paragraph" w:customStyle="1" w:styleId="Velk2">
    <w:name w:val="Velké 2"/>
    <w:basedOn w:val="Normln"/>
    <w:link w:val="Velk2Char"/>
    <w:autoRedefine/>
    <w:qFormat/>
    <w:rsid w:val="00566612"/>
    <w:pPr>
      <w:spacing w:before="60"/>
      <w:jc w:val="center"/>
    </w:pPr>
    <w:rPr>
      <w:rFonts w:cs="Arial CE"/>
      <w:sz w:val="28"/>
      <w:lang w:val="en-US"/>
    </w:rPr>
  </w:style>
  <w:style w:type="paragraph" w:styleId="Hlavikarejstku">
    <w:name w:val="index heading"/>
    <w:basedOn w:val="Heading"/>
  </w:style>
  <w:style w:type="paragraph" w:styleId="Nadpisobsahu">
    <w:name w:val="TOC Heading"/>
    <w:basedOn w:val="Nadpis1"/>
    <w:next w:val="Normln"/>
    <w:uiPriority w:val="39"/>
    <w:unhideWhenUsed/>
    <w:qFormat/>
    <w:rsid w:val="00F90B2B"/>
    <w:pPr>
      <w:numPr>
        <w:numId w:val="0"/>
      </w:numPr>
      <w:spacing w:before="240" w:after="0"/>
      <w:outlineLvl w:val="9"/>
    </w:pPr>
    <w:rPr>
      <w:rFonts w:asciiTheme="majorHAnsi" w:hAnsiTheme="majorHAnsi"/>
      <w:color w:val="2F5496" w:themeColor="accent1" w:themeShade="BF"/>
      <w:kern w:val="0"/>
      <w:sz w:val="32"/>
      <w:lang w:eastAsia="cs-CZ"/>
      <w14:ligatures w14:val="none"/>
    </w:rPr>
  </w:style>
  <w:style w:type="paragraph" w:styleId="Odstavecseseznamem">
    <w:name w:val="List Paragraph"/>
    <w:basedOn w:val="Normln"/>
    <w:link w:val="OdstavecseseznamemChar"/>
    <w:uiPriority w:val="34"/>
    <w:qFormat/>
    <w:rsid w:val="007F4FA1"/>
    <w:pPr>
      <w:spacing w:after="160" w:line="254" w:lineRule="auto"/>
      <w:ind w:left="720"/>
      <w:contextualSpacing/>
    </w:pPr>
    <w:rPr>
      <w:rFonts w:asciiTheme="minorHAnsi" w:hAnsiTheme="minorHAnsi"/>
      <w:kern w:val="0"/>
      <w:sz w:val="22"/>
      <w14:ligatures w14:val="none"/>
    </w:rPr>
  </w:style>
  <w:style w:type="paragraph" w:styleId="Revize">
    <w:name w:val="Revision"/>
    <w:uiPriority w:val="99"/>
    <w:semiHidden/>
    <w:qFormat/>
    <w:rsid w:val="006624FB"/>
    <w:rPr>
      <w:rFonts w:ascii="Arial CE" w:hAnsi="Arial CE"/>
      <w:sz w:val="20"/>
    </w:rPr>
  </w:style>
  <w:style w:type="table" w:styleId="Mkatabulky">
    <w:name w:val="Table Grid"/>
    <w:basedOn w:val="Normlntabulka"/>
    <w:uiPriority w:val="39"/>
    <w:rsid w:val="00BF2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tification@so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or.cz/wp-content/uploads/2024/04/MPQ-840-2-P&#345;&#237;loha-2-DIA.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src.nist.gov/projects/cryptographic-standards-and-guideli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r.cz/wp-content/uploads/2024/04/MPQ-840-2-P&#345;&#237;loha-4-CySe-questionnaire-for-suppliers.docx" TargetMode="External"/><Relationship Id="rId5" Type="http://schemas.openxmlformats.org/officeDocument/2006/relationships/numbering" Target="numbering.xml"/><Relationship Id="rId15" Type="http://schemas.openxmlformats.org/officeDocument/2006/relationships/hyperlink" Target="https://nukib.gov.cz/download/publications_en/Minimum_Requirements_for_Cryptographic_Algorithms_final.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vd.nist.gov/vuln/sear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E2507C56D467B4BA8CDCD537EE2BD0C" ma:contentTypeVersion="13" ma:contentTypeDescription="Vytvoří nový dokument" ma:contentTypeScope="" ma:versionID="e6ce8b7add19d5e1c119337fcfe2a38d">
  <xsd:schema xmlns:xsd="http://www.w3.org/2001/XMLSchema" xmlns:xs="http://www.w3.org/2001/XMLSchema" xmlns:p="http://schemas.microsoft.com/office/2006/metadata/properties" xmlns:ns2="c9f0a2be-0d75-488b-9e08-ebf2caca0a77" xmlns:ns3="cdfb1dc2-0a21-4630-9e04-ef167210a7b9" targetNamespace="http://schemas.microsoft.com/office/2006/metadata/properties" ma:root="true" ma:fieldsID="c240b09c17e403b88826a65917a8ef82" ns2:_="" ns3:_="">
    <xsd:import namespace="c9f0a2be-0d75-488b-9e08-ebf2caca0a77"/>
    <xsd:import namespace="cdfb1dc2-0a21-4630-9e04-ef167210a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0a2be-0d75-488b-9e08-ebf2caca0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43d492a-34e3-4bbc-b307-be6ada0c91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fb1dc2-0a21-4630-9e04-ef167210a7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e49f8f-9ece-4c10-a2b1-9c15189c93f7}" ma:internalName="TaxCatchAll" ma:showField="CatchAllData" ma:web="cdfb1dc2-0a21-4630-9e04-ef167210a7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fb1dc2-0a21-4630-9e04-ef167210a7b9" xsi:nil="true"/>
    <lcf76f155ced4ddcb4097134ff3c332f xmlns="c9f0a2be-0d75-488b-9e08-ebf2caca0a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FDB7B-069F-4A1F-AAAB-78B3B0BC1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0a2be-0d75-488b-9e08-ebf2caca0a77"/>
    <ds:schemaRef ds:uri="cdfb1dc2-0a21-4630-9e04-ef167210a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91BD8-0EF9-4112-970E-686CF1EE04B3}">
  <ds:schemaRefs>
    <ds:schemaRef ds:uri="http://schemas.openxmlformats.org/officeDocument/2006/bibliography"/>
  </ds:schemaRefs>
</ds:datastoreItem>
</file>

<file path=customXml/itemProps3.xml><?xml version="1.0" encoding="utf-8"?>
<ds:datastoreItem xmlns:ds="http://schemas.openxmlformats.org/officeDocument/2006/customXml" ds:itemID="{26A2DEE0-D92B-4AB3-B227-D09B7301C493}">
  <ds:schemaRefs>
    <ds:schemaRef ds:uri="http://schemas.microsoft.com/office/2006/metadata/properties"/>
    <ds:schemaRef ds:uri="http://schemas.microsoft.com/office/infopath/2007/PartnerControls"/>
    <ds:schemaRef ds:uri="df014a5e-ec66-4e88-9ea3-2748977c8882"/>
    <ds:schemaRef ds:uri="a4e56147-1f8b-4487-ac7c-ecc101571b48"/>
    <ds:schemaRef ds:uri="cdfb1dc2-0a21-4630-9e04-ef167210a7b9"/>
    <ds:schemaRef ds:uri="c9f0a2be-0d75-488b-9e08-ebf2caca0a77"/>
  </ds:schemaRefs>
</ds:datastoreItem>
</file>

<file path=customXml/itemProps4.xml><?xml version="1.0" encoding="utf-8"?>
<ds:datastoreItem xmlns:ds="http://schemas.openxmlformats.org/officeDocument/2006/customXml" ds:itemID="{F34DEB91-AA83-41C8-8093-63FBCCDC74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739</Words>
  <Characters>4365</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Tomáš</dc:creator>
  <dc:description/>
  <cp:lastModifiedBy>Stránský Tomáš SOR</cp:lastModifiedBy>
  <cp:revision>10</cp:revision>
  <dcterms:created xsi:type="dcterms:W3CDTF">2024-04-11T18:01:00Z</dcterms:created>
  <dcterms:modified xsi:type="dcterms:W3CDTF">2024-07-16T08:11:00Z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0x010100518ABB0E9F97C042B58C176854172449</vt:lpwstr>
  </property>
  <property fmtid="{D5CDD505-2E9C-101B-9397-08002B2CF9AE}" pid="3" name="MediaServiceImageTags">
    <vt:lpwstr/>
  </property>
</Properties>
</file>