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93D8" w14:textId="77777777" w:rsidR="00DC7AB0" w:rsidRPr="008F79DC" w:rsidRDefault="00DC7AB0" w:rsidP="00DC7AB0">
      <w:bookmarkStart w:id="0" w:name="_Hlk130977101"/>
      <w:bookmarkEnd w:id="0"/>
    </w:p>
    <w:p w14:paraId="5ECF3760" w14:textId="742E47FC" w:rsidR="00476096" w:rsidRPr="008F79DC" w:rsidRDefault="00476096" w:rsidP="000478E9">
      <w:pPr>
        <w:pStyle w:val="Velk2"/>
      </w:pPr>
      <w:r w:rsidRPr="008F79DC">
        <w:t>Účel</w:t>
      </w:r>
    </w:p>
    <w:p w14:paraId="4E8C4DBE" w14:textId="77777777" w:rsidR="00476096" w:rsidRPr="008F79DC" w:rsidRDefault="00476096" w:rsidP="00476096">
      <w:r w:rsidRPr="008F79DC">
        <w:t>Tento předpis je souhrnem požadavků společnosti SOR Libchavy spol. s r.o. na dodavatele a zboží, které bylo vyhodnoceno jako KB relevantní. Účelem je splnění požadavků systému CSMS (</w:t>
      </w:r>
      <w:proofErr w:type="spellStart"/>
      <w:r w:rsidRPr="008F79DC">
        <w:t>Cyber</w:t>
      </w:r>
      <w:proofErr w:type="spellEnd"/>
      <w:r w:rsidRPr="008F79DC">
        <w:t xml:space="preserve"> </w:t>
      </w:r>
      <w:proofErr w:type="spellStart"/>
      <w:r w:rsidRPr="008F79DC">
        <w:t>Security</w:t>
      </w:r>
      <w:proofErr w:type="spellEnd"/>
      <w:r w:rsidRPr="008F79DC">
        <w:t xml:space="preserve"> Management </w:t>
      </w:r>
      <w:proofErr w:type="spellStart"/>
      <w:r w:rsidRPr="008F79DC">
        <w:t>System</w:t>
      </w:r>
      <w:proofErr w:type="spellEnd"/>
      <w:r w:rsidRPr="008F79DC">
        <w:t>) definované nařízením UNECE R 155.</w:t>
      </w:r>
    </w:p>
    <w:p w14:paraId="778F5321" w14:textId="77777777" w:rsidR="00476096" w:rsidRPr="008F79DC" w:rsidRDefault="00476096" w:rsidP="00476096"/>
    <w:p w14:paraId="50750269" w14:textId="77777777" w:rsidR="00476096" w:rsidRPr="008F79DC" w:rsidRDefault="00476096" w:rsidP="000478E9">
      <w:pPr>
        <w:pStyle w:val="Velk2"/>
      </w:pPr>
      <w:r w:rsidRPr="008F79DC">
        <w:t>Seznam pojmů</w:t>
      </w:r>
    </w:p>
    <w:p w14:paraId="33EA65DD" w14:textId="77777777" w:rsidR="00476096" w:rsidRPr="008F79DC" w:rsidRDefault="00476096" w:rsidP="00476096">
      <w:r w:rsidRPr="008F79DC">
        <w:t xml:space="preserve">KB nebo </w:t>
      </w:r>
      <w:proofErr w:type="spellStart"/>
      <w:r w:rsidRPr="008F79DC">
        <w:t>CySe</w:t>
      </w:r>
      <w:proofErr w:type="spellEnd"/>
      <w:r w:rsidRPr="008F79DC">
        <w:t xml:space="preserve"> (</w:t>
      </w:r>
      <w:proofErr w:type="spellStart"/>
      <w:r w:rsidRPr="008F79DC">
        <w:t>Cyber</w:t>
      </w:r>
      <w:proofErr w:type="spellEnd"/>
      <w:r w:rsidRPr="008F79DC">
        <w:t xml:space="preserve"> </w:t>
      </w:r>
      <w:proofErr w:type="spellStart"/>
      <w:r w:rsidRPr="008F79DC">
        <w:t>Security</w:t>
      </w:r>
      <w:proofErr w:type="spellEnd"/>
      <w:r w:rsidRPr="008F79DC">
        <w:t>)</w:t>
      </w:r>
      <w:r w:rsidRPr="008F79DC">
        <w:tab/>
      </w:r>
      <w:r w:rsidRPr="008F79DC">
        <w:tab/>
      </w:r>
      <w:r w:rsidRPr="008F79DC">
        <w:tab/>
      </w:r>
      <w:r w:rsidRPr="008F79DC">
        <w:tab/>
        <w:t>kybernetická bezpečnost</w:t>
      </w:r>
    </w:p>
    <w:p w14:paraId="4252A275" w14:textId="77777777" w:rsidR="00476096" w:rsidRPr="008F79DC" w:rsidRDefault="00476096" w:rsidP="00476096">
      <w:r w:rsidRPr="008F79DC">
        <w:t>CSMS (</w:t>
      </w:r>
      <w:proofErr w:type="spellStart"/>
      <w:r w:rsidRPr="008F79DC">
        <w:t>Cyber</w:t>
      </w:r>
      <w:proofErr w:type="spellEnd"/>
      <w:r w:rsidRPr="008F79DC">
        <w:t xml:space="preserve"> </w:t>
      </w:r>
      <w:proofErr w:type="spellStart"/>
      <w:r w:rsidRPr="008F79DC">
        <w:t>Security</w:t>
      </w:r>
      <w:proofErr w:type="spellEnd"/>
      <w:r w:rsidRPr="008F79DC">
        <w:t xml:space="preserve"> Management </w:t>
      </w:r>
      <w:proofErr w:type="spellStart"/>
      <w:r w:rsidRPr="008F79DC">
        <w:t>System</w:t>
      </w:r>
      <w:proofErr w:type="spellEnd"/>
      <w:r w:rsidRPr="008F79DC">
        <w:t>)</w:t>
      </w:r>
      <w:r w:rsidRPr="008F79DC">
        <w:tab/>
      </w:r>
      <w:r w:rsidRPr="008F79DC">
        <w:tab/>
        <w:t>systém řízení kybernetické bezpečnosti</w:t>
      </w:r>
    </w:p>
    <w:p w14:paraId="772F2DCE" w14:textId="77777777" w:rsidR="00476096" w:rsidRPr="008F79DC" w:rsidRDefault="00476096" w:rsidP="00476096">
      <w:r w:rsidRPr="008F79DC">
        <w:t xml:space="preserve">SUMS (Software Update Management </w:t>
      </w:r>
      <w:proofErr w:type="spellStart"/>
      <w:r w:rsidRPr="008F79DC">
        <w:t>System</w:t>
      </w:r>
      <w:proofErr w:type="spellEnd"/>
      <w:r w:rsidRPr="008F79DC">
        <w:t>)</w:t>
      </w:r>
      <w:r w:rsidRPr="008F79DC">
        <w:tab/>
      </w:r>
      <w:r w:rsidRPr="008F79DC">
        <w:tab/>
        <w:t>systém řízení aktualizací software</w:t>
      </w:r>
    </w:p>
    <w:p w14:paraId="75C3A72D" w14:textId="77777777" w:rsidR="00476096" w:rsidRPr="008F79DC" w:rsidRDefault="00476096" w:rsidP="00476096">
      <w:pPr>
        <w:ind w:left="4950" w:hanging="4950"/>
      </w:pPr>
      <w:r w:rsidRPr="008F79DC">
        <w:t>KB komponenta</w:t>
      </w:r>
      <w:r w:rsidRPr="008F79DC">
        <w:tab/>
        <w:t>KB relevantní zboží (řídící jednotky, převodníky, sensory,…)</w:t>
      </w:r>
    </w:p>
    <w:p w14:paraId="6DF161FB" w14:textId="77777777" w:rsidR="00476096" w:rsidRPr="008F79DC" w:rsidRDefault="00476096" w:rsidP="00476096">
      <w:pPr>
        <w:ind w:left="4950" w:hanging="4950"/>
      </w:pPr>
    </w:p>
    <w:p w14:paraId="6048C51B" w14:textId="77777777" w:rsidR="00476096" w:rsidRPr="008F79DC" w:rsidRDefault="00476096" w:rsidP="000478E9">
      <w:pPr>
        <w:pStyle w:val="Velk2"/>
      </w:pPr>
      <w:r w:rsidRPr="008F79DC">
        <w:t>Definice KB relevantního zboží (komponenty)</w:t>
      </w:r>
    </w:p>
    <w:p w14:paraId="62BE7E70" w14:textId="77777777" w:rsidR="00476096" w:rsidRPr="008F79DC" w:rsidRDefault="00476096" w:rsidP="00476096">
      <w:r w:rsidRPr="008F79DC">
        <w:rPr>
          <w:b/>
          <w:bCs/>
        </w:rPr>
        <w:t xml:space="preserve">KB relevantní zboží definuje SOR. </w:t>
      </w:r>
      <w:r w:rsidRPr="008F79DC">
        <w:t>Obecně se jedná</w:t>
      </w:r>
      <w:r w:rsidRPr="008F79DC">
        <w:rPr>
          <w:b/>
          <w:bCs/>
        </w:rPr>
        <w:t xml:space="preserve"> </w:t>
      </w:r>
      <w:r w:rsidRPr="008F79DC">
        <w:t>o každé zboží, které je relevantní s pohledu kybernetické bezpečnosti. Zboží je KB relevantní, pokud</w:t>
      </w:r>
    </w:p>
    <w:p w14:paraId="0755F082" w14:textId="1AD2685D" w:rsidR="0056346F" w:rsidRPr="008F79DC" w:rsidRDefault="0056346F" w:rsidP="00FD6297">
      <w:pPr>
        <w:pStyle w:val="Odstavecseseznamem"/>
        <w:numPr>
          <w:ilvl w:val="0"/>
          <w:numId w:val="22"/>
        </w:numPr>
      </w:pPr>
      <w:r w:rsidRPr="008F79DC">
        <w:t>se jedná o elektronickou komponentu připojenou na sběrnici A</w:t>
      </w:r>
    </w:p>
    <w:p w14:paraId="06F86021" w14:textId="29DC0675" w:rsidR="0056346F" w:rsidRPr="008F79DC" w:rsidRDefault="0056346F" w:rsidP="00FD6297">
      <w:pPr>
        <w:pStyle w:val="Odstavecseseznamem"/>
        <w:numPr>
          <w:ilvl w:val="0"/>
          <w:numId w:val="22"/>
        </w:numPr>
      </w:pPr>
      <w:r w:rsidRPr="008F79DC">
        <w:t>může mít vliv na zdraví nebo život člověka (např. vznik nebezpečné situace nebo vliv na řízení vozidla) nebo životní prostředí nebo důvěrné informace NEBO</w:t>
      </w:r>
      <w:r w:rsidRPr="008F79DC">
        <w:tab/>
      </w:r>
      <w:r w:rsidRPr="008F79DC">
        <w:tab/>
      </w:r>
      <w:r w:rsidRPr="008F79DC">
        <w:tab/>
      </w:r>
    </w:p>
    <w:p w14:paraId="2164DA2C" w14:textId="04277470" w:rsidR="00C11821" w:rsidRPr="008F79DC" w:rsidRDefault="0056346F" w:rsidP="00FD6297">
      <w:pPr>
        <w:pStyle w:val="Odstavecseseznamem"/>
        <w:numPr>
          <w:ilvl w:val="0"/>
          <w:numId w:val="22"/>
        </w:numPr>
      </w:pPr>
      <w:r w:rsidRPr="008F79DC">
        <w:t>má možnost externího připojení (konektor, internet, WIFI).</w:t>
      </w:r>
    </w:p>
    <w:p w14:paraId="7A69D1ED" w14:textId="77777777" w:rsidR="00476096" w:rsidRPr="008F79DC" w:rsidRDefault="00476096" w:rsidP="00C11821"/>
    <w:p w14:paraId="3E551882" w14:textId="77777777" w:rsidR="00DC7AB0" w:rsidRPr="008F79DC" w:rsidRDefault="00DC7AB0" w:rsidP="00C11821"/>
    <w:p w14:paraId="48A77499" w14:textId="77777777" w:rsidR="00476096" w:rsidRPr="008F79DC" w:rsidRDefault="00476096" w:rsidP="00476096">
      <w:pPr>
        <w:pStyle w:val="Velk"/>
      </w:pPr>
      <w:r w:rsidRPr="008F79DC">
        <w:t>KB POŽADAVKY NA DODAVATELE A ZBOŽÍ</w:t>
      </w:r>
    </w:p>
    <w:p w14:paraId="5B30E307" w14:textId="77777777" w:rsidR="00476096" w:rsidRPr="008F79DC" w:rsidRDefault="00476096" w:rsidP="00476096"/>
    <w:p w14:paraId="7D826E63" w14:textId="77777777" w:rsidR="00476096" w:rsidRPr="008F79DC" w:rsidRDefault="00476096" w:rsidP="000478E9">
      <w:pPr>
        <w:pStyle w:val="Velk2"/>
      </w:pPr>
      <w:r w:rsidRPr="008F79DC">
        <w:t>KB požadavky na dodavatele</w:t>
      </w:r>
    </w:p>
    <w:p w14:paraId="0FD1CCEB" w14:textId="77777777" w:rsidR="00476096" w:rsidRPr="008F79DC" w:rsidRDefault="00476096" w:rsidP="00476096">
      <w:r w:rsidRPr="008F79DC">
        <w:t>Před realizací první dodávky KB komponenty a dále v rámci pravidelného hodnocení dodavatelů, doloží dodavatel SOR následující podklady, které dokumentují dostatečný přístup k zajištění kybernetické bezpečnosti jeho organizace:</w:t>
      </w:r>
    </w:p>
    <w:p w14:paraId="677A5C5B" w14:textId="72472C50" w:rsidR="00476096" w:rsidRPr="008F79DC" w:rsidRDefault="00554422" w:rsidP="00331651">
      <w:pPr>
        <w:pStyle w:val="Odstavecseseznamem"/>
        <w:numPr>
          <w:ilvl w:val="0"/>
          <w:numId w:val="12"/>
        </w:numPr>
        <w:spacing w:after="60" w:line="288" w:lineRule="auto"/>
      </w:pPr>
      <w:bookmarkStart w:id="1" w:name="_Hlk148682661"/>
      <w:r w:rsidRPr="008F79DC">
        <w:t xml:space="preserve">KB </w:t>
      </w:r>
      <w:r w:rsidR="00476096" w:rsidRPr="008F79DC">
        <w:t>certifikát</w:t>
      </w:r>
      <w:r w:rsidR="00B12A30" w:rsidRPr="008F79DC">
        <w:t xml:space="preserve"> organizace, např:</w:t>
      </w:r>
      <w:r w:rsidR="00476096" w:rsidRPr="008F79DC">
        <w:rPr>
          <w:b/>
          <w:bCs/>
        </w:rPr>
        <w:t xml:space="preserve"> UNECE R 155</w:t>
      </w:r>
      <w:r w:rsidR="00331651" w:rsidRPr="008F79DC">
        <w:rPr>
          <w:b/>
          <w:bCs/>
        </w:rPr>
        <w:t xml:space="preserve">, </w:t>
      </w:r>
      <w:bookmarkEnd w:id="1"/>
      <w:r w:rsidR="00476096" w:rsidRPr="008F79DC">
        <w:rPr>
          <w:b/>
          <w:bCs/>
        </w:rPr>
        <w:t>ISO 27001</w:t>
      </w:r>
      <w:r w:rsidR="00F90752" w:rsidRPr="008F79DC">
        <w:rPr>
          <w:b/>
          <w:bCs/>
        </w:rPr>
        <w:t>, ISO 21434</w:t>
      </w:r>
      <w:r w:rsidR="00331651" w:rsidRPr="008F79DC">
        <w:rPr>
          <w:b/>
          <w:bCs/>
        </w:rPr>
        <w:t xml:space="preserve"> </w:t>
      </w:r>
      <w:r w:rsidR="00331651" w:rsidRPr="008F79DC">
        <w:t>nebo</w:t>
      </w:r>
      <w:r w:rsidR="00331651" w:rsidRPr="008F79DC">
        <w:rPr>
          <w:b/>
          <w:bCs/>
        </w:rPr>
        <w:t xml:space="preserve"> </w:t>
      </w:r>
      <w:r w:rsidR="00476096" w:rsidRPr="008F79DC">
        <w:rPr>
          <w:b/>
          <w:bCs/>
        </w:rPr>
        <w:t>TISAX</w:t>
      </w:r>
      <w:r w:rsidR="00476096" w:rsidRPr="008F79DC">
        <w:t xml:space="preserve"> vydaný autorizovanou osobou; nebo</w:t>
      </w:r>
    </w:p>
    <w:p w14:paraId="5C3604B2" w14:textId="77777777" w:rsidR="00476096" w:rsidRPr="008F79DC" w:rsidRDefault="00476096" w:rsidP="00476096">
      <w:pPr>
        <w:pStyle w:val="Odstavecseseznamem"/>
        <w:numPr>
          <w:ilvl w:val="0"/>
          <w:numId w:val="12"/>
        </w:numPr>
        <w:spacing w:after="60" w:line="288" w:lineRule="auto"/>
      </w:pPr>
      <w:r w:rsidRPr="008F79DC">
        <w:t>doklad o zařazení organizace jako povinné osoby dle nařízení Směrnice Evropského parlamentu a rady (EU) 2022/2555 – zkráceně jako „</w:t>
      </w:r>
      <w:r w:rsidRPr="008F79DC">
        <w:rPr>
          <w:b/>
          <w:bCs/>
        </w:rPr>
        <w:t>NIS2</w:t>
      </w:r>
      <w:r w:rsidRPr="008F79DC">
        <w:t>“; nebo</w:t>
      </w:r>
    </w:p>
    <w:p w14:paraId="1F5F0140" w14:textId="1E6243F3" w:rsidR="00476096" w:rsidRPr="008F79DC" w:rsidRDefault="00476096" w:rsidP="00476096">
      <w:pPr>
        <w:pStyle w:val="Odstavecseseznamem"/>
        <w:numPr>
          <w:ilvl w:val="0"/>
          <w:numId w:val="12"/>
        </w:numPr>
        <w:spacing w:after="60" w:line="288" w:lineRule="auto"/>
      </w:pPr>
      <w:r w:rsidRPr="008F79DC">
        <w:t xml:space="preserve">vyplněný dotazník </w:t>
      </w:r>
      <w:hyperlink r:id="rId11" w:history="1">
        <w:r w:rsidR="00AC605C" w:rsidRPr="008F79DC">
          <w:rPr>
            <w:rStyle w:val="Hypertextovodkaz"/>
            <w:b/>
            <w:bCs/>
          </w:rPr>
          <w:t>KB (</w:t>
        </w:r>
        <w:proofErr w:type="spellStart"/>
        <w:r w:rsidR="00AC605C" w:rsidRPr="008F79DC">
          <w:rPr>
            <w:rStyle w:val="Hypertextovodkaz"/>
            <w:b/>
            <w:bCs/>
          </w:rPr>
          <w:t>CySe</w:t>
        </w:r>
        <w:proofErr w:type="spellEnd"/>
        <w:r w:rsidR="00AC605C" w:rsidRPr="008F79DC">
          <w:rPr>
            <w:rStyle w:val="Hypertextovodkaz"/>
            <w:b/>
            <w:bCs/>
          </w:rPr>
          <w:t>) dotazník pro dodavatele</w:t>
        </w:r>
      </w:hyperlink>
      <w:r w:rsidRPr="008F79DC">
        <w:t xml:space="preserve"> obsahující čestné prohlášení. SOR si vymezuje právo ověřit pravdivost čestného prohlášení provedením zákaznického auditu u dodavatele.</w:t>
      </w:r>
    </w:p>
    <w:p w14:paraId="1ABFACE6" w14:textId="0DB0D534" w:rsidR="00476096" w:rsidRPr="008F79DC" w:rsidRDefault="00BD4053" w:rsidP="00FD6297">
      <w:pPr>
        <w:pStyle w:val="Odstavecseseznamem"/>
        <w:numPr>
          <w:ilvl w:val="0"/>
          <w:numId w:val="12"/>
        </w:numPr>
      </w:pPr>
      <w:r w:rsidRPr="008F79DC">
        <w:t xml:space="preserve">A zároveň </w:t>
      </w:r>
      <w:hyperlink r:id="rId12" w:history="1">
        <w:r w:rsidR="00063ABF" w:rsidRPr="008F79DC">
          <w:rPr>
            <w:rStyle w:val="Hypertextovodkaz"/>
            <w:b/>
            <w:bCs/>
          </w:rPr>
          <w:t>KB (</w:t>
        </w:r>
        <w:proofErr w:type="spellStart"/>
        <w:r w:rsidR="00063ABF" w:rsidRPr="008F79DC">
          <w:rPr>
            <w:rStyle w:val="Hypertextovodkaz"/>
            <w:b/>
            <w:bCs/>
          </w:rPr>
          <w:t>CySe</w:t>
        </w:r>
        <w:proofErr w:type="spellEnd"/>
        <w:r w:rsidR="00063ABF" w:rsidRPr="008F79DC">
          <w:rPr>
            <w:rStyle w:val="Hypertextovodkaz"/>
            <w:b/>
            <w:bCs/>
          </w:rPr>
          <w:t>) dohoda o rozhraní kybernetické bezpečnosti DIA</w:t>
        </w:r>
      </w:hyperlink>
      <w:r w:rsidR="007E52FB" w:rsidRPr="008F79DC">
        <w:t>, případně vlastní verzi dohody</w:t>
      </w:r>
      <w:r w:rsidR="00D664B9" w:rsidRPr="008F79DC">
        <w:t>.</w:t>
      </w:r>
    </w:p>
    <w:p w14:paraId="4658B352" w14:textId="7639D9F9" w:rsidR="00476096" w:rsidRPr="008F79DC" w:rsidRDefault="00476096" w:rsidP="00476096">
      <w:r w:rsidRPr="008F79DC">
        <w:t>Při každoročním hodnocení dodavatelů je ověřováno, zda dodavatel stále výše</w:t>
      </w:r>
      <w:r w:rsidR="00DE5B0A" w:rsidRPr="008F79DC">
        <w:t xml:space="preserve"> zmíněné</w:t>
      </w:r>
      <w:r w:rsidRPr="008F79DC">
        <w:t xml:space="preserve"> podmínk</w:t>
      </w:r>
      <w:r w:rsidR="00DE5B0A" w:rsidRPr="008F79DC">
        <w:t>y</w:t>
      </w:r>
      <w:r w:rsidRPr="008F79DC">
        <w:t xml:space="preserve"> plní. Za stranu SOR toto hodnocení a kontakt s dodavatelem zajišťuje oddělení Nákup </w:t>
      </w:r>
      <w:r w:rsidR="005568D2" w:rsidRPr="008F79DC">
        <w:t>(</w:t>
      </w:r>
      <w:r w:rsidRPr="008F79DC">
        <w:t>ve spolupráci s Manažerem KB</w:t>
      </w:r>
      <w:r w:rsidR="005568D2" w:rsidRPr="008F79DC">
        <w:t>)</w:t>
      </w:r>
      <w:r w:rsidRPr="008F79DC">
        <w:t>.</w:t>
      </w:r>
    </w:p>
    <w:p w14:paraId="0140581F" w14:textId="77777777" w:rsidR="00E55B62" w:rsidRPr="008F79DC" w:rsidRDefault="00E55B62" w:rsidP="00476096"/>
    <w:p w14:paraId="0FC9FBC6" w14:textId="7A07331A" w:rsidR="00ED387D" w:rsidRPr="008F79DC" w:rsidRDefault="00ED387D" w:rsidP="00476096">
      <w:r w:rsidRPr="008F79DC">
        <w:t>Dodavatel je dále povinen:</w:t>
      </w:r>
    </w:p>
    <w:p w14:paraId="5364A0AF" w14:textId="1C936BDE" w:rsidR="00ED387D" w:rsidRPr="008F79DC" w:rsidRDefault="002432DC" w:rsidP="002432DC">
      <w:pPr>
        <w:pStyle w:val="Odstavecseseznamem"/>
        <w:numPr>
          <w:ilvl w:val="0"/>
          <w:numId w:val="12"/>
        </w:numPr>
        <w:spacing w:after="60" w:line="288" w:lineRule="auto"/>
      </w:pPr>
      <w:r w:rsidRPr="008F79DC">
        <w:t>neprodleně informovat SOR o výskytu závažné</w:t>
      </w:r>
      <w:r w:rsidR="000E5532" w:rsidRPr="008F79DC">
        <w:t xml:space="preserve"> </w:t>
      </w:r>
      <w:r w:rsidR="000E5532" w:rsidRPr="008F79DC">
        <w:rPr>
          <w:b/>
          <w:bCs/>
        </w:rPr>
        <w:t>zranitelnosti</w:t>
      </w:r>
      <w:r w:rsidRPr="008F79DC">
        <w:t xml:space="preserve"> nebo </w:t>
      </w:r>
      <w:r w:rsidRPr="008F79DC">
        <w:rPr>
          <w:b/>
          <w:bCs/>
        </w:rPr>
        <w:t>kybernetické</w:t>
      </w:r>
      <w:r w:rsidR="003A7DEB" w:rsidRPr="008F79DC">
        <w:rPr>
          <w:b/>
          <w:bCs/>
        </w:rPr>
        <w:t>m incidentu</w:t>
      </w:r>
      <w:r w:rsidRPr="008F79DC">
        <w:t xml:space="preserve"> </w:t>
      </w:r>
      <w:r w:rsidR="003A7DEB" w:rsidRPr="008F79DC">
        <w:t xml:space="preserve">nebo </w:t>
      </w:r>
      <w:r w:rsidR="006D48C9" w:rsidRPr="008F79DC">
        <w:rPr>
          <w:b/>
          <w:bCs/>
        </w:rPr>
        <w:t>vydání kritické aktualizace</w:t>
      </w:r>
      <w:r w:rsidR="0061281C" w:rsidRPr="008F79DC">
        <w:rPr>
          <w:b/>
          <w:bCs/>
        </w:rPr>
        <w:t xml:space="preserve"> </w:t>
      </w:r>
      <w:r w:rsidR="0061281C" w:rsidRPr="008F79DC">
        <w:t>(</w:t>
      </w:r>
      <w:r w:rsidR="00367F39" w:rsidRPr="008F79DC">
        <w:t xml:space="preserve">mající </w:t>
      </w:r>
      <w:r w:rsidR="003B4CA9" w:rsidRPr="008F79DC">
        <w:t xml:space="preserve">potenciální </w:t>
      </w:r>
      <w:r w:rsidR="0061281C" w:rsidRPr="008F79DC">
        <w:t>vli</w:t>
      </w:r>
      <w:r w:rsidR="00367F39" w:rsidRPr="008F79DC">
        <w:t>v na bezpečnost</w:t>
      </w:r>
      <w:r w:rsidR="00860449" w:rsidRPr="008F79DC">
        <w:t xml:space="preserve"> cestujících</w:t>
      </w:r>
      <w:r w:rsidR="0061281C" w:rsidRPr="008F79DC">
        <w:t>)</w:t>
      </w:r>
      <w:r w:rsidR="006D48C9" w:rsidRPr="008F79DC">
        <w:t xml:space="preserve"> </w:t>
      </w:r>
      <w:r w:rsidRPr="008F79DC">
        <w:t>na email:</w:t>
      </w:r>
      <w:r w:rsidR="005633BC" w:rsidRPr="008F79DC">
        <w:t xml:space="preserve"> </w:t>
      </w:r>
      <w:hyperlink r:id="rId13" w:history="1">
        <w:r w:rsidRPr="008F79DC">
          <w:rPr>
            <w:rStyle w:val="Hypertextovodkaz"/>
          </w:rPr>
          <w:t>oznameni@sor.cz</w:t>
        </w:r>
      </w:hyperlink>
      <w:r w:rsidR="0097629E" w:rsidRPr="008F79DC">
        <w:t>.</w:t>
      </w:r>
    </w:p>
    <w:p w14:paraId="04304D23" w14:textId="77777777" w:rsidR="000478E9" w:rsidRPr="008F79DC" w:rsidRDefault="000478E9" w:rsidP="000478E9"/>
    <w:p w14:paraId="70D47039" w14:textId="77777777" w:rsidR="00476096" w:rsidRPr="008F79DC" w:rsidRDefault="00476096" w:rsidP="000478E9">
      <w:pPr>
        <w:pStyle w:val="Velk2"/>
      </w:pPr>
      <w:r w:rsidRPr="008F79DC">
        <w:t>Požadavky na KB nakupované komponenty</w:t>
      </w:r>
    </w:p>
    <w:p w14:paraId="20E22003" w14:textId="4E15CE5B" w:rsidR="00476096" w:rsidRPr="008F79DC" w:rsidRDefault="00476096" w:rsidP="00476096">
      <w:r w:rsidRPr="008F79DC">
        <w:t xml:space="preserve">V případě, že je se jedná o KB komponentu, </w:t>
      </w:r>
      <w:r w:rsidR="00564673" w:rsidRPr="008F79DC">
        <w:t>je dodavatel povinen dodat</w:t>
      </w:r>
      <w:r w:rsidRPr="008F79DC">
        <w:t>:</w:t>
      </w:r>
    </w:p>
    <w:p w14:paraId="1DF2DCBF" w14:textId="7AF56409" w:rsidR="00476096" w:rsidRPr="008F79DC" w:rsidRDefault="00476096" w:rsidP="00476096">
      <w:pPr>
        <w:pStyle w:val="Odstavecseseznamem"/>
        <w:numPr>
          <w:ilvl w:val="0"/>
          <w:numId w:val="13"/>
        </w:numPr>
        <w:tabs>
          <w:tab w:val="left" w:pos="6240"/>
        </w:tabs>
        <w:spacing w:after="60" w:line="288" w:lineRule="auto"/>
      </w:pPr>
      <w:r w:rsidRPr="008F79DC">
        <w:rPr>
          <w:b/>
          <w:bCs/>
        </w:rPr>
        <w:t>certifikát</w:t>
      </w:r>
      <w:r w:rsidRPr="008F79DC">
        <w:t xml:space="preserve"> CSMS ke zboží dle UNECE R 155 vydaný autorizovanou osobou</w:t>
      </w:r>
      <w:r w:rsidR="00EC12A1" w:rsidRPr="008F79DC">
        <w:t xml:space="preserve">, </w:t>
      </w:r>
      <w:r w:rsidRPr="008F79DC">
        <w:t>pokud jej má;</w:t>
      </w:r>
    </w:p>
    <w:p w14:paraId="191F74CC" w14:textId="3AC80BFD" w:rsidR="000A5896" w:rsidRPr="008F79DC" w:rsidRDefault="000A5896" w:rsidP="00476096">
      <w:pPr>
        <w:pStyle w:val="Odstavecseseznamem"/>
        <w:numPr>
          <w:ilvl w:val="0"/>
          <w:numId w:val="13"/>
        </w:numPr>
        <w:tabs>
          <w:tab w:val="left" w:pos="6240"/>
        </w:tabs>
        <w:spacing w:after="60" w:line="288" w:lineRule="auto"/>
      </w:pPr>
      <w:r w:rsidRPr="008F79DC">
        <w:t xml:space="preserve">aktuální výsledky </w:t>
      </w:r>
      <w:r w:rsidR="00476096" w:rsidRPr="008F79DC">
        <w:rPr>
          <w:b/>
          <w:bCs/>
        </w:rPr>
        <w:t>TARA</w:t>
      </w:r>
      <w:r w:rsidR="00476096" w:rsidRPr="008F79DC">
        <w:t xml:space="preserve"> analýz</w:t>
      </w:r>
      <w:r w:rsidRPr="008F79DC">
        <w:t>y</w:t>
      </w:r>
      <w:r w:rsidR="00476096" w:rsidRPr="008F79DC">
        <w:t xml:space="preserve"> (preferujeme využití metodiky dle ISO/SAE 21434)</w:t>
      </w:r>
      <w:r w:rsidRPr="008F79DC">
        <w:t>:</w:t>
      </w:r>
    </w:p>
    <w:p w14:paraId="6F53F78C" w14:textId="530F80F2" w:rsidR="003D7E2D" w:rsidRPr="008F79DC" w:rsidRDefault="00476096" w:rsidP="00FD6297">
      <w:pPr>
        <w:pStyle w:val="Odstavecseseznamem"/>
        <w:numPr>
          <w:ilvl w:val="0"/>
          <w:numId w:val="25"/>
        </w:numPr>
        <w:tabs>
          <w:tab w:val="left" w:pos="6240"/>
        </w:tabs>
      </w:pPr>
      <w:r w:rsidRPr="008F79DC">
        <w:rPr>
          <w:b/>
          <w:bCs/>
        </w:rPr>
        <w:t xml:space="preserve">rizika </w:t>
      </w:r>
      <w:r w:rsidRPr="008F79DC">
        <w:t>vyplývající z TARA analýzy</w:t>
      </w:r>
      <w:r w:rsidR="0052432E" w:rsidRPr="008F79DC">
        <w:t>,</w:t>
      </w:r>
    </w:p>
    <w:p w14:paraId="3CCB8BB1" w14:textId="39AA4D1C" w:rsidR="00C628EE" w:rsidRPr="008F79DC" w:rsidRDefault="00476096" w:rsidP="00FD6297">
      <w:pPr>
        <w:pStyle w:val="Odstavecseseznamem"/>
        <w:numPr>
          <w:ilvl w:val="0"/>
          <w:numId w:val="25"/>
        </w:numPr>
        <w:tabs>
          <w:tab w:val="left" w:pos="6240"/>
        </w:tabs>
      </w:pPr>
      <w:r w:rsidRPr="008F79DC">
        <w:rPr>
          <w:b/>
          <w:bCs/>
        </w:rPr>
        <w:t>technická opatření</w:t>
      </w:r>
      <w:r w:rsidRPr="008F79DC">
        <w:t>, která zmírňují jejich negativní dopady;</w:t>
      </w:r>
    </w:p>
    <w:p w14:paraId="64646C5D" w14:textId="55D44506" w:rsidR="000A5896" w:rsidRPr="008F79DC" w:rsidRDefault="00433782" w:rsidP="00FD6297">
      <w:pPr>
        <w:pStyle w:val="Odstavecseseznamem"/>
        <w:numPr>
          <w:ilvl w:val="0"/>
          <w:numId w:val="13"/>
        </w:numPr>
        <w:spacing w:after="60" w:line="288" w:lineRule="auto"/>
      </w:pPr>
      <w:r w:rsidRPr="008F79DC">
        <w:t>komponenta</w:t>
      </w:r>
      <w:r w:rsidR="0049488F" w:rsidRPr="008F79DC">
        <w:t>:</w:t>
      </w:r>
    </w:p>
    <w:p w14:paraId="2EBBD933" w14:textId="5A668668" w:rsidR="00D63095" w:rsidRPr="008F79DC" w:rsidRDefault="00D63095" w:rsidP="00D63095">
      <w:pPr>
        <w:pStyle w:val="Odstavecseseznamem"/>
        <w:numPr>
          <w:ilvl w:val="0"/>
          <w:numId w:val="26"/>
        </w:numPr>
      </w:pPr>
      <w:r w:rsidRPr="008F79DC">
        <w:t>jednoznačně</w:t>
      </w:r>
      <w:r w:rsidRPr="008F79DC">
        <w:rPr>
          <w:b/>
          <w:bCs/>
        </w:rPr>
        <w:t xml:space="preserve"> označit</w:t>
      </w:r>
      <w:r w:rsidR="00C200B4" w:rsidRPr="008F79DC">
        <w:rPr>
          <w:b/>
          <w:bCs/>
        </w:rPr>
        <w:t xml:space="preserve"> </w:t>
      </w:r>
      <w:r w:rsidRPr="008F79DC">
        <w:rPr>
          <w:b/>
          <w:bCs/>
        </w:rPr>
        <w:t>komponentu</w:t>
      </w:r>
      <w:r w:rsidR="00764B05" w:rsidRPr="008F79DC">
        <w:rPr>
          <w:b/>
          <w:bCs/>
        </w:rPr>
        <w:t>,</w:t>
      </w:r>
      <w:r w:rsidRPr="008F79DC">
        <w:rPr>
          <w:b/>
          <w:bCs/>
        </w:rPr>
        <w:t xml:space="preserve"> </w:t>
      </w:r>
      <w:r w:rsidRPr="008F79DC">
        <w:t xml:space="preserve">pokud </w:t>
      </w:r>
      <w:r w:rsidR="00764B05" w:rsidRPr="008F79DC">
        <w:t>je určena pro testovací nebo vývojové účely</w:t>
      </w:r>
      <w:r w:rsidR="00D135B2" w:rsidRPr="008F79DC">
        <w:t>,</w:t>
      </w:r>
    </w:p>
    <w:p w14:paraId="23A9D349" w14:textId="1FA17ABD" w:rsidR="003E6335" w:rsidRPr="008F79DC" w:rsidRDefault="000D519C" w:rsidP="00D63095">
      <w:pPr>
        <w:pStyle w:val="Odstavecseseznamem"/>
        <w:numPr>
          <w:ilvl w:val="0"/>
          <w:numId w:val="26"/>
        </w:numPr>
      </w:pPr>
      <w:r w:rsidRPr="008F79DC">
        <w:t xml:space="preserve">pro </w:t>
      </w:r>
      <w:r w:rsidR="00D5733F" w:rsidRPr="008F79DC">
        <w:t>sériová vozidla využívat pro</w:t>
      </w:r>
      <w:r w:rsidR="001A0F6D" w:rsidRPr="008F79DC">
        <w:t xml:space="preserve"> CAN</w:t>
      </w:r>
      <w:r w:rsidR="00D5733F" w:rsidRPr="008F79DC">
        <w:t xml:space="preserve"> </w:t>
      </w:r>
      <w:r w:rsidR="003410B2" w:rsidRPr="008F79DC">
        <w:t>diagnostik</w:t>
      </w:r>
      <w:r w:rsidR="008F4214" w:rsidRPr="008F79DC">
        <w:t>u</w:t>
      </w:r>
      <w:r w:rsidR="00BA2006" w:rsidRPr="008F79DC">
        <w:t xml:space="preserve"> a</w:t>
      </w:r>
      <w:r w:rsidR="008F4214" w:rsidRPr="008F79DC">
        <w:t xml:space="preserve"> </w:t>
      </w:r>
      <w:r w:rsidR="00BA2006" w:rsidRPr="008F79DC">
        <w:t>aktualizaci</w:t>
      </w:r>
      <w:r w:rsidR="003410B2" w:rsidRPr="008F79DC">
        <w:t xml:space="preserve"> SW</w:t>
      </w:r>
      <w:r w:rsidRPr="008F79DC">
        <w:t xml:space="preserve"> </w:t>
      </w:r>
      <w:r w:rsidR="003410B2" w:rsidRPr="008F79DC">
        <w:rPr>
          <w:b/>
          <w:bCs/>
        </w:rPr>
        <w:t>pouze</w:t>
      </w:r>
      <w:r w:rsidRPr="008F79DC">
        <w:rPr>
          <w:b/>
          <w:bCs/>
        </w:rPr>
        <w:t xml:space="preserve"> OBD zásuvku</w:t>
      </w:r>
      <w:r w:rsidR="003410B2" w:rsidRPr="008F79DC">
        <w:rPr>
          <w:b/>
          <w:bCs/>
        </w:rPr>
        <w:t xml:space="preserve"> a UDS protokol</w:t>
      </w:r>
      <w:r w:rsidR="003410B2" w:rsidRPr="008F79DC">
        <w:t>,</w:t>
      </w:r>
    </w:p>
    <w:p w14:paraId="5F316A20" w14:textId="3FD38B6C" w:rsidR="00476096" w:rsidRPr="008F79DC" w:rsidRDefault="00717FE6" w:rsidP="00FD6297">
      <w:pPr>
        <w:pStyle w:val="Odstavecseseznamem"/>
        <w:numPr>
          <w:ilvl w:val="0"/>
          <w:numId w:val="26"/>
        </w:numPr>
      </w:pPr>
      <w:r w:rsidRPr="008F79DC">
        <w:rPr>
          <w:b/>
          <w:bCs/>
        </w:rPr>
        <w:t xml:space="preserve">výsledky </w:t>
      </w:r>
      <w:r w:rsidR="003C7101" w:rsidRPr="008F79DC">
        <w:rPr>
          <w:b/>
          <w:bCs/>
        </w:rPr>
        <w:t>penetračních testů</w:t>
      </w:r>
      <w:r w:rsidR="003C7101" w:rsidRPr="008F79DC">
        <w:t xml:space="preserve"> včetně oprav nálezů, pokud jsou k</w:t>
      </w:r>
      <w:r w:rsidR="003410B2" w:rsidRPr="008F79DC">
        <w:t> </w:t>
      </w:r>
      <w:r w:rsidR="003C7101" w:rsidRPr="008F79DC">
        <w:t>dispozici</w:t>
      </w:r>
      <w:r w:rsidR="003410B2" w:rsidRPr="008F79DC">
        <w:t>;</w:t>
      </w:r>
    </w:p>
    <w:p w14:paraId="785BE9CE" w14:textId="21407174" w:rsidR="009C0ABC" w:rsidRPr="008F79DC" w:rsidRDefault="009C0ABC" w:rsidP="00476096">
      <w:pPr>
        <w:pStyle w:val="Odstavecseseznamem"/>
        <w:numPr>
          <w:ilvl w:val="0"/>
          <w:numId w:val="13"/>
        </w:numPr>
        <w:spacing w:after="60" w:line="288" w:lineRule="auto"/>
      </w:pPr>
      <w:r w:rsidRPr="008F79DC">
        <w:t>software:</w:t>
      </w:r>
    </w:p>
    <w:p w14:paraId="168C0E19" w14:textId="77777777" w:rsidR="00E57904" w:rsidRPr="008F79DC" w:rsidRDefault="00E57904" w:rsidP="00FD6297">
      <w:pPr>
        <w:pStyle w:val="Odstavecseseznamem"/>
        <w:numPr>
          <w:ilvl w:val="0"/>
          <w:numId w:val="29"/>
        </w:numPr>
      </w:pPr>
      <w:r w:rsidRPr="008F79DC">
        <w:rPr>
          <w:b/>
          <w:bCs/>
        </w:rPr>
        <w:t>návody k diagnostickému SW</w:t>
      </w:r>
      <w:r w:rsidRPr="008F79DC">
        <w:t>,</w:t>
      </w:r>
    </w:p>
    <w:p w14:paraId="17DA03A1" w14:textId="11F2BB9A" w:rsidR="00D8433B" w:rsidRPr="008F79DC" w:rsidRDefault="00E57904" w:rsidP="00FD6297">
      <w:pPr>
        <w:pStyle w:val="Odstavecseseznamem"/>
        <w:numPr>
          <w:ilvl w:val="0"/>
          <w:numId w:val="29"/>
        </w:numPr>
      </w:pPr>
      <w:r w:rsidRPr="008F79DC">
        <w:t>bezpečné</w:t>
      </w:r>
      <w:r w:rsidRPr="008F79DC">
        <w:rPr>
          <w:b/>
          <w:bCs/>
        </w:rPr>
        <w:t xml:space="preserve"> postupy aktualizace</w:t>
      </w:r>
      <w:r w:rsidRPr="008F79DC">
        <w:t xml:space="preserve"> </w:t>
      </w:r>
      <w:r w:rsidRPr="008F79DC">
        <w:rPr>
          <w:b/>
          <w:bCs/>
        </w:rPr>
        <w:t>SW</w:t>
      </w:r>
      <w:r w:rsidRPr="008F79DC">
        <w:t xml:space="preserve"> nebo parametrů</w:t>
      </w:r>
      <w:r w:rsidR="00FC4E1B" w:rsidRPr="008F79DC">
        <w:t xml:space="preserve"> jednotky</w:t>
      </w:r>
      <w:r w:rsidRPr="008F79DC">
        <w:t>,</w:t>
      </w:r>
    </w:p>
    <w:p w14:paraId="463E06C9" w14:textId="0318C921" w:rsidR="00556C18" w:rsidRPr="008F79DC" w:rsidRDefault="00C950FE" w:rsidP="00FD6297">
      <w:pPr>
        <w:pStyle w:val="Odstavecseseznamem"/>
        <w:numPr>
          <w:ilvl w:val="0"/>
          <w:numId w:val="29"/>
        </w:numPr>
      </w:pPr>
      <w:r w:rsidRPr="008F79DC">
        <w:t xml:space="preserve">bezpečný </w:t>
      </w:r>
      <w:r w:rsidR="00D8433B" w:rsidRPr="008F79DC">
        <w:rPr>
          <w:b/>
          <w:bCs/>
        </w:rPr>
        <w:t>přístup k aktuálním verzím SW</w:t>
      </w:r>
      <w:r w:rsidR="00556C18" w:rsidRPr="008F79DC">
        <w:t>,</w:t>
      </w:r>
    </w:p>
    <w:p w14:paraId="1F14699A" w14:textId="3D8C5890" w:rsidR="00AD7700" w:rsidRPr="008F79DC" w:rsidRDefault="00556C18" w:rsidP="00AD7700">
      <w:pPr>
        <w:pStyle w:val="Odstavecseseznamem"/>
        <w:numPr>
          <w:ilvl w:val="0"/>
          <w:numId w:val="29"/>
        </w:numPr>
      </w:pPr>
      <w:r w:rsidRPr="008F79DC">
        <w:t>jednoznačně</w:t>
      </w:r>
      <w:r w:rsidRPr="008F79DC">
        <w:rPr>
          <w:b/>
          <w:bCs/>
        </w:rPr>
        <w:t xml:space="preserve"> odlišit SW </w:t>
      </w:r>
      <w:r w:rsidRPr="008F79DC">
        <w:t>určený pro provoz vozidla na pozemní komunikaci</w:t>
      </w:r>
      <w:r w:rsidR="00AA7F53" w:rsidRPr="008F79DC">
        <w:t xml:space="preserve"> od</w:t>
      </w:r>
      <w:r w:rsidRPr="008F79DC">
        <w:t xml:space="preserve"> nebezpečn</w:t>
      </w:r>
      <w:r w:rsidR="00AA7F53" w:rsidRPr="008F79DC">
        <w:t>ého</w:t>
      </w:r>
      <w:r w:rsidRPr="008F79DC">
        <w:t xml:space="preserve"> nebo</w:t>
      </w:r>
      <w:r w:rsidR="000A68F5" w:rsidRPr="008F79DC">
        <w:t xml:space="preserve"> </w:t>
      </w:r>
      <w:r w:rsidRPr="008F79DC">
        <w:t>testovací</w:t>
      </w:r>
      <w:r w:rsidR="00AA7F53" w:rsidRPr="008F79DC">
        <w:t>ho</w:t>
      </w:r>
      <w:r w:rsidRPr="008F79DC">
        <w:t xml:space="preserve"> SW</w:t>
      </w:r>
      <w:r w:rsidR="00D135B2" w:rsidRPr="008F79DC">
        <w:t>,</w:t>
      </w:r>
    </w:p>
    <w:p w14:paraId="26594FE8" w14:textId="20ECBDC7" w:rsidR="007728F8" w:rsidRPr="008F79DC" w:rsidRDefault="001C33D8" w:rsidP="00AD7700">
      <w:pPr>
        <w:pStyle w:val="Odstavecseseznamem"/>
        <w:numPr>
          <w:ilvl w:val="0"/>
          <w:numId w:val="29"/>
        </w:numPr>
      </w:pPr>
      <w:r w:rsidRPr="008F79DC">
        <w:t>zabezpečit</w:t>
      </w:r>
      <w:r w:rsidRPr="008F79DC">
        <w:rPr>
          <w:b/>
          <w:bCs/>
        </w:rPr>
        <w:t xml:space="preserve"> </w:t>
      </w:r>
      <w:r w:rsidR="007728F8" w:rsidRPr="008F79DC">
        <w:rPr>
          <w:b/>
          <w:bCs/>
        </w:rPr>
        <w:t>neměnnost SW</w:t>
      </w:r>
      <w:r w:rsidRPr="008F79DC">
        <w:rPr>
          <w:b/>
          <w:bCs/>
        </w:rPr>
        <w:t xml:space="preserve"> </w:t>
      </w:r>
      <w:r w:rsidR="00DD0EC4" w:rsidRPr="008F79DC">
        <w:rPr>
          <w:b/>
          <w:bCs/>
        </w:rPr>
        <w:t>během aktualizace</w:t>
      </w:r>
      <w:r w:rsidR="00DD0EC4" w:rsidRPr="008F79DC">
        <w:t xml:space="preserve"> </w:t>
      </w:r>
      <w:r w:rsidR="00512604" w:rsidRPr="008F79DC">
        <w:t>(</w:t>
      </w:r>
      <w:r w:rsidR="00F56A77" w:rsidRPr="008F79DC">
        <w:t xml:space="preserve">např. </w:t>
      </w:r>
      <w:r w:rsidR="00A258B1" w:rsidRPr="008F79DC">
        <w:t xml:space="preserve">on-line aktualizace, </w:t>
      </w:r>
      <w:r w:rsidR="00512604" w:rsidRPr="008F79DC">
        <w:t>el. podpis</w:t>
      </w:r>
      <w:r w:rsidR="00A258B1" w:rsidRPr="008F79DC">
        <w:t xml:space="preserve"> případně kontrolní součet</w:t>
      </w:r>
      <w:r w:rsidR="00512604" w:rsidRPr="008F79DC">
        <w:t xml:space="preserve">, </w:t>
      </w:r>
      <w:r w:rsidR="00DD0EC4" w:rsidRPr="008F79DC">
        <w:t>šifrování, atd.</w:t>
      </w:r>
      <w:r w:rsidR="00512604" w:rsidRPr="008F79DC">
        <w:t>)</w:t>
      </w:r>
      <w:r w:rsidR="008931FE" w:rsidRPr="008F79DC">
        <w:t>,</w:t>
      </w:r>
    </w:p>
    <w:p w14:paraId="67E20467" w14:textId="1BEFF843" w:rsidR="00B1487A" w:rsidRPr="008F79DC" w:rsidRDefault="0006398B" w:rsidP="00FD6297">
      <w:pPr>
        <w:pStyle w:val="Odstavecseseznamem"/>
        <w:numPr>
          <w:ilvl w:val="0"/>
          <w:numId w:val="29"/>
        </w:numPr>
      </w:pPr>
      <w:r w:rsidRPr="008F79DC">
        <w:t xml:space="preserve">výsledky </w:t>
      </w:r>
      <w:r w:rsidRPr="008F79DC">
        <w:rPr>
          <w:b/>
          <w:bCs/>
        </w:rPr>
        <w:t>SW testů</w:t>
      </w:r>
      <w:r w:rsidRPr="008F79DC">
        <w:t xml:space="preserve"> (např. CVE a CVSS nebo porovnání s </w:t>
      </w:r>
      <w:hyperlink r:id="rId14" w:history="1">
        <w:r w:rsidRPr="008F79DC">
          <w:rPr>
            <w:rStyle w:val="Hypertextovodkaz"/>
          </w:rPr>
          <w:t>nvd.nist.gov</w:t>
        </w:r>
      </w:hyperlink>
      <w:r w:rsidRPr="008F79DC">
        <w:t>);</w:t>
      </w:r>
    </w:p>
    <w:p w14:paraId="7DF3840D" w14:textId="0BA6AF55" w:rsidR="006B6BDD" w:rsidRPr="008F79DC" w:rsidRDefault="006B6BDD" w:rsidP="00476096">
      <w:pPr>
        <w:pStyle w:val="Odstavecseseznamem"/>
        <w:numPr>
          <w:ilvl w:val="0"/>
          <w:numId w:val="13"/>
        </w:numPr>
        <w:spacing w:after="60" w:line="288" w:lineRule="auto"/>
      </w:pPr>
      <w:r w:rsidRPr="008F79DC">
        <w:t>šifrování:</w:t>
      </w:r>
    </w:p>
    <w:p w14:paraId="7ED139D3" w14:textId="62908C82" w:rsidR="006B6BDD" w:rsidRPr="008F79DC" w:rsidRDefault="006B6BDD" w:rsidP="006B6BDD">
      <w:pPr>
        <w:pStyle w:val="Odstavecseseznamem"/>
        <w:numPr>
          <w:ilvl w:val="0"/>
          <w:numId w:val="31"/>
        </w:numPr>
      </w:pPr>
      <w:r w:rsidRPr="008F79DC">
        <w:t xml:space="preserve">komponenty a SW chráněné </w:t>
      </w:r>
      <w:r w:rsidRPr="008F79DC">
        <w:rPr>
          <w:b/>
          <w:bCs/>
        </w:rPr>
        <w:t>bezpečnými k</w:t>
      </w:r>
      <w:r w:rsidRPr="008F79DC">
        <w:rPr>
          <w:rFonts w:ascii="CIDFont+F1" w:hAnsi="CIDFont+F1" w:cs="CIDFont+F1"/>
          <w:b/>
          <w:bCs/>
        </w:rPr>
        <w:t>ryptografick</w:t>
      </w:r>
      <w:r w:rsidRPr="008F79DC">
        <w:rPr>
          <w:rFonts w:ascii="CIDFont+F1" w:hAnsi="CIDFont+F1" w:cs="CIDFont+F1"/>
          <w:b/>
          <w:bCs/>
        </w:rPr>
        <w:t>ými</w:t>
      </w:r>
      <w:r w:rsidRPr="008F79DC">
        <w:rPr>
          <w:b/>
          <w:bCs/>
        </w:rPr>
        <w:t xml:space="preserve"> </w:t>
      </w:r>
      <w:r w:rsidRPr="008F79DC">
        <w:rPr>
          <w:b/>
          <w:bCs/>
        </w:rPr>
        <w:t>protokoly, šifry a hashovací</w:t>
      </w:r>
      <w:r w:rsidRPr="008F79DC">
        <w:rPr>
          <w:b/>
          <w:bCs/>
        </w:rPr>
        <w:t xml:space="preserve">mi </w:t>
      </w:r>
      <w:r w:rsidRPr="008F79DC">
        <w:rPr>
          <w:b/>
          <w:bCs/>
        </w:rPr>
        <w:t>funkc</w:t>
      </w:r>
      <w:r w:rsidRPr="008F79DC">
        <w:rPr>
          <w:b/>
          <w:bCs/>
        </w:rPr>
        <w:t>emi</w:t>
      </w:r>
      <w:r w:rsidRPr="008F79DC">
        <w:t xml:space="preserve">, to je bez známých zranitelností (dle </w:t>
      </w:r>
      <w:r w:rsidRPr="008F79DC">
        <w:rPr>
          <w:rFonts w:ascii="CIDFont+F1" w:hAnsi="CIDFont+F1" w:cs="CIDFont+F1"/>
        </w:rPr>
        <w:t>NÚKIB</w:t>
      </w:r>
      <w:r w:rsidRPr="008F79DC">
        <w:rPr>
          <w:rFonts w:ascii="CIDFont+F1" w:hAnsi="CIDFont+F1" w:cs="CIDFont+F1"/>
        </w:rPr>
        <w:t xml:space="preserve"> nebo</w:t>
      </w:r>
      <w:r w:rsidRPr="008F79DC">
        <w:rPr>
          <w:rFonts w:ascii="CIDFont+F1" w:hAnsi="CIDFont+F1" w:cs="CIDFont+F1"/>
        </w:rPr>
        <w:t xml:space="preserve"> NIST</w:t>
      </w:r>
      <w:r w:rsidRPr="008F79DC">
        <w:t xml:space="preserve">) a pravidelně (alespoň 1 x ročně) tento stav </w:t>
      </w:r>
      <w:r w:rsidR="008F79DC" w:rsidRPr="008F79DC">
        <w:t>porovnávat</w:t>
      </w:r>
      <w:r w:rsidRPr="008F79DC">
        <w:t>,</w:t>
      </w:r>
    </w:p>
    <w:p w14:paraId="0DB71D8B" w14:textId="5F1298A9" w:rsidR="00527261" w:rsidRPr="008F79DC" w:rsidRDefault="006B6BDD" w:rsidP="008F79DC">
      <w:pPr>
        <w:pStyle w:val="Odstavecseseznamem"/>
        <w:numPr>
          <w:ilvl w:val="0"/>
          <w:numId w:val="31"/>
        </w:numPr>
      </w:pPr>
      <w:r w:rsidRPr="008F79DC">
        <w:t xml:space="preserve">v případě použití </w:t>
      </w:r>
      <w:r w:rsidR="00527261" w:rsidRPr="008F79DC">
        <w:t>jiných (neschválených)</w:t>
      </w:r>
      <w:r w:rsidRPr="008F79DC">
        <w:t xml:space="preserve"> </w:t>
      </w:r>
      <w:r w:rsidR="00527261" w:rsidRPr="008F79DC">
        <w:t>šifrovacích algoritmů je třeba informovat SOR</w:t>
      </w:r>
      <w:r w:rsidR="008F79DC" w:rsidRPr="008F79DC">
        <w:t>,</w:t>
      </w:r>
    </w:p>
    <w:p w14:paraId="3095A953" w14:textId="77777777" w:rsidR="008F79DC" w:rsidRDefault="008F79DC" w:rsidP="008F79DC">
      <w:pPr>
        <w:pStyle w:val="Odstavecseseznamem"/>
        <w:numPr>
          <w:ilvl w:val="0"/>
          <w:numId w:val="31"/>
        </w:numPr>
      </w:pPr>
      <w:r>
        <w:t xml:space="preserve">aktuální </w:t>
      </w:r>
      <w:r w:rsidRPr="008F79DC">
        <w:t>odkaz</w:t>
      </w:r>
      <w:r>
        <w:t>y:</w:t>
      </w:r>
    </w:p>
    <w:p w14:paraId="42346933" w14:textId="4F170C2E" w:rsidR="008F79DC" w:rsidRDefault="008F79DC" w:rsidP="008F79DC">
      <w:pPr>
        <w:pStyle w:val="Odstavecseseznamem"/>
        <w:numPr>
          <w:ilvl w:val="1"/>
          <w:numId w:val="31"/>
        </w:numPr>
      </w:pPr>
      <w:hyperlink r:id="rId15" w:history="1">
        <w:r w:rsidRPr="008F79DC">
          <w:rPr>
            <w:rStyle w:val="Hypertextovodkaz"/>
          </w:rPr>
          <w:t>NÚ</w:t>
        </w:r>
        <w:r w:rsidRPr="008F79DC">
          <w:rPr>
            <w:rStyle w:val="Hypertextovodkaz"/>
          </w:rPr>
          <w:t>K</w:t>
        </w:r>
        <w:r w:rsidRPr="008F79DC">
          <w:rPr>
            <w:rStyle w:val="Hypertextovodkaz"/>
          </w:rPr>
          <w:t>IB</w:t>
        </w:r>
      </w:hyperlink>
      <w:r>
        <w:t>,</w:t>
      </w:r>
    </w:p>
    <w:p w14:paraId="4BEB8211" w14:textId="63188725" w:rsidR="008F79DC" w:rsidRPr="008F79DC" w:rsidRDefault="008F79DC" w:rsidP="008F79DC">
      <w:pPr>
        <w:pStyle w:val="Odstavecseseznamem"/>
        <w:numPr>
          <w:ilvl w:val="1"/>
          <w:numId w:val="31"/>
        </w:numPr>
      </w:pPr>
      <w:hyperlink r:id="rId16" w:history="1">
        <w:r w:rsidRPr="008F79DC">
          <w:rPr>
            <w:rStyle w:val="Hypertextovodkaz"/>
          </w:rPr>
          <w:t>N</w:t>
        </w:r>
        <w:r w:rsidRPr="008F79DC">
          <w:rPr>
            <w:rStyle w:val="Hypertextovodkaz"/>
          </w:rPr>
          <w:t>I</w:t>
        </w:r>
        <w:r w:rsidRPr="008F79DC">
          <w:rPr>
            <w:rStyle w:val="Hypertextovodkaz"/>
          </w:rPr>
          <w:t>ST</w:t>
        </w:r>
      </w:hyperlink>
      <w:r w:rsidRPr="008F79DC">
        <w:t>;</w:t>
      </w:r>
    </w:p>
    <w:p w14:paraId="21CB2EC2" w14:textId="1ABDC9CD" w:rsidR="00477C62" w:rsidRPr="008F79DC" w:rsidRDefault="00477C62" w:rsidP="00476096">
      <w:pPr>
        <w:pStyle w:val="Odstavecseseznamem"/>
        <w:numPr>
          <w:ilvl w:val="0"/>
          <w:numId w:val="13"/>
        </w:numPr>
        <w:spacing w:after="60" w:line="288" w:lineRule="auto"/>
      </w:pPr>
      <w:r w:rsidRPr="008F79DC">
        <w:t xml:space="preserve">v případě řídící jednotky (ECU), </w:t>
      </w:r>
      <w:r w:rsidRPr="008F79DC">
        <w:rPr>
          <w:b/>
          <w:bCs/>
        </w:rPr>
        <w:t>seznam dotazů</w:t>
      </w:r>
      <w:r w:rsidRPr="008F79DC">
        <w:t>, na které jednotka přes CAN odpoví:</w:t>
      </w:r>
    </w:p>
    <w:p w14:paraId="31BD33EC" w14:textId="43B65259" w:rsidR="00477C62" w:rsidRPr="008F79DC" w:rsidRDefault="00477C62" w:rsidP="00FD6297">
      <w:pPr>
        <w:pStyle w:val="Odstavecseseznamem"/>
        <w:numPr>
          <w:ilvl w:val="0"/>
          <w:numId w:val="30"/>
        </w:numPr>
      </w:pPr>
      <w:r w:rsidRPr="008F79DC">
        <w:t xml:space="preserve">ECU hardware </w:t>
      </w:r>
      <w:proofErr w:type="spellStart"/>
      <w:r w:rsidRPr="008F79DC">
        <w:t>version</w:t>
      </w:r>
      <w:proofErr w:type="spellEnd"/>
      <w:r w:rsidRPr="008F79DC">
        <w:t xml:space="preserve"> (model </w:t>
      </w:r>
      <w:proofErr w:type="spellStart"/>
      <w:r w:rsidRPr="008F79DC">
        <w:t>n</w:t>
      </w:r>
      <w:r w:rsidR="00696CA9" w:rsidRPr="008F79DC">
        <w:t>umber</w:t>
      </w:r>
      <w:proofErr w:type="spellEnd"/>
      <w:r w:rsidRPr="008F79DC">
        <w:t xml:space="preserve"> </w:t>
      </w:r>
      <w:r w:rsidR="00696CA9" w:rsidRPr="008F79DC">
        <w:t>nebo</w:t>
      </w:r>
      <w:r w:rsidRPr="008F79DC">
        <w:t xml:space="preserve"> </w:t>
      </w:r>
      <w:proofErr w:type="spellStart"/>
      <w:r w:rsidRPr="008F79DC">
        <w:t>product</w:t>
      </w:r>
      <w:proofErr w:type="spellEnd"/>
      <w:r w:rsidRPr="008F79DC">
        <w:t xml:space="preserve"> </w:t>
      </w:r>
      <w:proofErr w:type="spellStart"/>
      <w:r w:rsidRPr="008F79DC">
        <w:t>n</w:t>
      </w:r>
      <w:r w:rsidR="00696CA9" w:rsidRPr="008F79DC">
        <w:t>umber</w:t>
      </w:r>
      <w:proofErr w:type="spellEnd"/>
      <w:r w:rsidRPr="008F79DC">
        <w:t>),</w:t>
      </w:r>
    </w:p>
    <w:p w14:paraId="5DC35649" w14:textId="2418F903" w:rsidR="00477C62" w:rsidRPr="008F79DC" w:rsidRDefault="00477C62" w:rsidP="00FD6297">
      <w:pPr>
        <w:pStyle w:val="Odstavecseseznamem"/>
        <w:numPr>
          <w:ilvl w:val="0"/>
          <w:numId w:val="30"/>
        </w:numPr>
      </w:pPr>
      <w:r w:rsidRPr="008F79DC">
        <w:t xml:space="preserve">ECU </w:t>
      </w:r>
      <w:proofErr w:type="spellStart"/>
      <w:r w:rsidRPr="008F79DC">
        <w:t>serial</w:t>
      </w:r>
      <w:proofErr w:type="spellEnd"/>
      <w:r w:rsidRPr="008F79DC">
        <w:t xml:space="preserve"> </w:t>
      </w:r>
      <w:proofErr w:type="spellStart"/>
      <w:r w:rsidRPr="008F79DC">
        <w:t>n</w:t>
      </w:r>
      <w:r w:rsidR="00696CA9" w:rsidRPr="008F79DC">
        <w:t>umber</w:t>
      </w:r>
      <w:proofErr w:type="spellEnd"/>
      <w:r w:rsidRPr="008F79DC">
        <w:t>,</w:t>
      </w:r>
    </w:p>
    <w:p w14:paraId="1410CF11" w14:textId="77777777" w:rsidR="00477C62" w:rsidRPr="008F79DC" w:rsidRDefault="00477C62" w:rsidP="00FD6297">
      <w:pPr>
        <w:pStyle w:val="Odstavecseseznamem"/>
        <w:numPr>
          <w:ilvl w:val="0"/>
          <w:numId w:val="30"/>
        </w:numPr>
      </w:pPr>
      <w:r w:rsidRPr="008F79DC">
        <w:t xml:space="preserve">software </w:t>
      </w:r>
      <w:proofErr w:type="spellStart"/>
      <w:r w:rsidRPr="008F79DC">
        <w:t>version</w:t>
      </w:r>
      <w:proofErr w:type="spellEnd"/>
      <w:r w:rsidRPr="008F79DC">
        <w:t>,</w:t>
      </w:r>
    </w:p>
    <w:p w14:paraId="2B372D46" w14:textId="56953D2F" w:rsidR="00477C62" w:rsidRPr="008F79DC" w:rsidRDefault="00477C62" w:rsidP="00FD6297">
      <w:pPr>
        <w:pStyle w:val="Odstavecseseznamem"/>
        <w:numPr>
          <w:ilvl w:val="0"/>
          <w:numId w:val="30"/>
        </w:numPr>
      </w:pPr>
      <w:r w:rsidRPr="008F79DC">
        <w:t xml:space="preserve">Integrity </w:t>
      </w:r>
      <w:proofErr w:type="spellStart"/>
      <w:r w:rsidRPr="008F79DC">
        <w:t>Validation</w:t>
      </w:r>
      <w:proofErr w:type="spellEnd"/>
      <w:r w:rsidRPr="008F79DC">
        <w:t xml:space="preserve"> Data;</w:t>
      </w:r>
    </w:p>
    <w:p w14:paraId="27AECE33" w14:textId="77777777" w:rsidR="00476096" w:rsidRPr="008F79DC" w:rsidRDefault="00476096" w:rsidP="00476096">
      <w:pPr>
        <w:pStyle w:val="Odstavecseseznamem"/>
        <w:numPr>
          <w:ilvl w:val="0"/>
          <w:numId w:val="13"/>
        </w:numPr>
        <w:spacing w:after="60" w:line="288" w:lineRule="auto"/>
      </w:pPr>
      <w:r w:rsidRPr="008F79DC">
        <w:rPr>
          <w:b/>
          <w:bCs/>
        </w:rPr>
        <w:t>termín ukončení podpory</w:t>
      </w:r>
      <w:r w:rsidRPr="008F79DC">
        <w:t xml:space="preserve"> zboží (vývoje a výroby zboží/komponenty).</w:t>
      </w:r>
    </w:p>
    <w:p w14:paraId="78294920" w14:textId="77777777" w:rsidR="00476096" w:rsidRPr="008F79DC" w:rsidRDefault="00476096" w:rsidP="00476096"/>
    <w:p w14:paraId="62E73F38" w14:textId="699BDFB5" w:rsidR="00476096" w:rsidRPr="008F79DC" w:rsidRDefault="00476096" w:rsidP="00476096">
      <w:r w:rsidRPr="008F79DC">
        <w:t>Pokud dodavatel není schopen dodat bod 2, je nutná spolupráce SOR (ředitel nákupu</w:t>
      </w:r>
      <w:r w:rsidR="00A770C8" w:rsidRPr="008F79DC">
        <w:t xml:space="preserve"> a logistiky</w:t>
      </w:r>
      <w:r w:rsidRPr="008F79DC">
        <w:t>, manažer KB) a technických expertů dodavatele. K tomu dodavatel předem připraví:</w:t>
      </w:r>
    </w:p>
    <w:p w14:paraId="5C712514" w14:textId="77777777" w:rsidR="00476096" w:rsidRPr="008F79DC" w:rsidRDefault="00476096" w:rsidP="00476096">
      <w:pPr>
        <w:pStyle w:val="Odstavecseseznamem"/>
        <w:numPr>
          <w:ilvl w:val="0"/>
          <w:numId w:val="14"/>
        </w:numPr>
        <w:spacing w:after="60" w:line="288" w:lineRule="auto"/>
      </w:pPr>
      <w:r w:rsidRPr="008F79DC">
        <w:t>technickou dokumentaci komponenty včetně blokového schématu zapojení, komunikačního rozhraní a provozních stavů,</w:t>
      </w:r>
    </w:p>
    <w:p w14:paraId="7BA85305" w14:textId="77777777" w:rsidR="00476096" w:rsidRPr="008F79DC" w:rsidRDefault="00476096" w:rsidP="00476096">
      <w:pPr>
        <w:pStyle w:val="Odstavecseseznamem"/>
        <w:numPr>
          <w:ilvl w:val="0"/>
          <w:numId w:val="14"/>
        </w:numPr>
        <w:spacing w:after="60" w:line="288" w:lineRule="auto"/>
      </w:pPr>
      <w:r w:rsidRPr="008F79DC">
        <w:t>popis bezpečnostních mechanismů a využitých opatření,</w:t>
      </w:r>
    </w:p>
    <w:p w14:paraId="0385D018" w14:textId="77777777" w:rsidR="00476096" w:rsidRPr="008F79DC" w:rsidRDefault="00476096" w:rsidP="00476096">
      <w:pPr>
        <w:pStyle w:val="Odstavecseseznamem"/>
        <w:numPr>
          <w:ilvl w:val="0"/>
          <w:numId w:val="14"/>
        </w:numPr>
        <w:spacing w:after="60" w:line="288" w:lineRule="auto"/>
      </w:pPr>
      <w:r w:rsidRPr="008F79DC">
        <w:t>zajištění dostatečné personální a odborné kapacity ke konzultacím a návrh jejich termínů.</w:t>
      </w:r>
    </w:p>
    <w:p w14:paraId="5CD475B1" w14:textId="1FF92C0A" w:rsidR="00F90B2B" w:rsidRPr="008F79DC" w:rsidRDefault="00F90B2B" w:rsidP="00A678EA"/>
    <w:sectPr w:rsidR="00F90B2B" w:rsidRPr="008F79DC" w:rsidSect="00B170A7">
      <w:headerReference w:type="default" r:id="rId17"/>
      <w:footerReference w:type="default" r:id="rId18"/>
      <w:pgSz w:w="11906" w:h="16838"/>
      <w:pgMar w:top="2127" w:right="849" w:bottom="567" w:left="851" w:header="426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EA7B" w14:textId="77777777" w:rsidR="00B170A7" w:rsidRDefault="00B170A7" w:rsidP="00244380">
      <w:pPr>
        <w:spacing w:after="0" w:line="240" w:lineRule="auto"/>
      </w:pPr>
      <w:r>
        <w:separator/>
      </w:r>
    </w:p>
  </w:endnote>
  <w:endnote w:type="continuationSeparator" w:id="0">
    <w:p w14:paraId="0696FC33" w14:textId="77777777" w:rsidR="00B170A7" w:rsidRDefault="00B170A7" w:rsidP="0024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Condensed-Regular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Roboto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FF55" w14:textId="6FB88DEC" w:rsidR="005637A2" w:rsidRDefault="005637A2">
    <w:pPr>
      <w:pStyle w:val="Zpat"/>
      <w:jc w:val="center"/>
    </w:pPr>
    <w:r>
      <w:t xml:space="preserve">Strana </w:t>
    </w:r>
    <w:sdt>
      <w:sdtPr>
        <w:id w:val="161555373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8F79DC">
          <w:fldChar w:fldCharType="begin"/>
        </w:r>
        <w:r w:rsidR="008F79DC">
          <w:instrText xml:space="preserve"> NUMPAGES   \* MERGEFORMAT </w:instrText>
        </w:r>
        <w:r w:rsidR="008F79DC">
          <w:fldChar w:fldCharType="separate"/>
        </w:r>
        <w:r>
          <w:rPr>
            <w:noProof/>
          </w:rPr>
          <w:t>1</w:t>
        </w:r>
        <w:r w:rsidR="008F79DC">
          <w:rPr>
            <w:noProof/>
          </w:rPr>
          <w:fldChar w:fldCharType="end"/>
        </w:r>
      </w:sdtContent>
    </w:sdt>
  </w:p>
  <w:p w14:paraId="1D8D2617" w14:textId="38424C25" w:rsidR="005637A2" w:rsidRDefault="005637A2" w:rsidP="005637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B4D1A" w14:textId="77777777" w:rsidR="00B170A7" w:rsidRDefault="00B170A7" w:rsidP="00244380">
      <w:pPr>
        <w:spacing w:after="0" w:line="240" w:lineRule="auto"/>
      </w:pPr>
      <w:r>
        <w:separator/>
      </w:r>
    </w:p>
  </w:footnote>
  <w:footnote w:type="continuationSeparator" w:id="0">
    <w:p w14:paraId="5FE6BA43" w14:textId="77777777" w:rsidR="00B170A7" w:rsidRDefault="00B170A7" w:rsidP="0024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774" w:type="dxa"/>
      <w:tblInd w:w="-284" w:type="dxa"/>
      <w:tblBorders>
        <w:top w:val="none" w:sz="0" w:space="0" w:color="auto"/>
        <w:left w:val="none" w:sz="0" w:space="0" w:color="auto"/>
        <w:bottom w:val="single" w:sz="12" w:space="0" w:color="4CB848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2552"/>
      <w:gridCol w:w="5103"/>
      <w:gridCol w:w="3119"/>
    </w:tblGrid>
    <w:tr w:rsidR="00812364" w:rsidRPr="00BF2B10" w14:paraId="43F45CA6" w14:textId="77777777" w:rsidTr="00DC7AB0">
      <w:trPr>
        <w:trHeight w:val="1418"/>
      </w:trPr>
      <w:tc>
        <w:tcPr>
          <w:tcW w:w="2552" w:type="dxa"/>
          <w:shd w:val="clear" w:color="auto" w:fill="FFFFFF" w:themeFill="background1"/>
          <w:vAlign w:val="center"/>
        </w:tcPr>
        <w:p w14:paraId="62FE620A" w14:textId="77777777" w:rsidR="00812364" w:rsidRPr="00B85562" w:rsidRDefault="00812364" w:rsidP="00812364">
          <w:pPr>
            <w:pStyle w:val="Zhlav"/>
            <w:rPr>
              <w:sz w:val="10"/>
              <w:szCs w:val="10"/>
            </w:rPr>
          </w:pPr>
          <w:r w:rsidRPr="00BF2B10">
            <w:rPr>
              <w:noProof/>
            </w:rPr>
            <w:drawing>
              <wp:inline distT="0" distB="0" distL="0" distR="0" wp14:anchorId="7AC60D1B" wp14:editId="1AF1C790">
                <wp:extent cx="819150" cy="483299"/>
                <wp:effectExtent l="0" t="0" r="0" b="0"/>
                <wp:docPr id="970615117" name="Obrázek 970615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694" cy="506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3580BB" w14:textId="77777777" w:rsidR="00B85562" w:rsidRPr="00B85562" w:rsidRDefault="00B85562" w:rsidP="00812364">
          <w:pPr>
            <w:pStyle w:val="Zhlav"/>
            <w:rPr>
              <w:sz w:val="10"/>
              <w:szCs w:val="10"/>
            </w:rPr>
          </w:pPr>
        </w:p>
        <w:p w14:paraId="1D4C3254" w14:textId="669EA66F" w:rsidR="00B85562" w:rsidRDefault="00183A0C" w:rsidP="00812364">
          <w:pPr>
            <w:pStyle w:val="Zhlav"/>
            <w:rPr>
              <w:sz w:val="16"/>
              <w:szCs w:val="16"/>
            </w:rPr>
          </w:pPr>
          <w:r>
            <w:rPr>
              <w:sz w:val="16"/>
              <w:szCs w:val="16"/>
            </w:rPr>
            <w:t>M</w:t>
          </w:r>
          <w:r w:rsidR="00B85562" w:rsidRPr="00B85562">
            <w:rPr>
              <w:sz w:val="16"/>
              <w:szCs w:val="16"/>
            </w:rPr>
            <w:t xml:space="preserve">PQ 840-2 Příloha </w:t>
          </w:r>
          <w:r w:rsidR="000E354F">
            <w:rPr>
              <w:sz w:val="16"/>
              <w:szCs w:val="16"/>
            </w:rPr>
            <w:t>3</w:t>
          </w:r>
        </w:p>
        <w:p w14:paraId="08A0E123" w14:textId="5ECFC0AF" w:rsidR="00B85562" w:rsidRPr="00B85562" w:rsidRDefault="00B85562" w:rsidP="00812364">
          <w:pPr>
            <w:pStyle w:val="Zhlav"/>
            <w:rPr>
              <w:sz w:val="16"/>
              <w:szCs w:val="16"/>
            </w:rPr>
          </w:pPr>
          <w:r>
            <w:rPr>
              <w:sz w:val="16"/>
              <w:szCs w:val="16"/>
            </w:rPr>
            <w:t>Klasifikace dokumentu: Veřejný</w:t>
          </w:r>
        </w:p>
      </w:tc>
      <w:tc>
        <w:tcPr>
          <w:tcW w:w="5103" w:type="dxa"/>
          <w:shd w:val="clear" w:color="auto" w:fill="FFFFFF" w:themeFill="background1"/>
          <w:vAlign w:val="center"/>
        </w:tcPr>
        <w:p w14:paraId="1EE99E69" w14:textId="3BB314CE" w:rsidR="00812364" w:rsidRPr="00845BC1" w:rsidRDefault="00DC7AB0" w:rsidP="00812364">
          <w:pPr>
            <w:pStyle w:val="Zhlav"/>
            <w:jc w:val="center"/>
            <w:rPr>
              <w:sz w:val="32"/>
              <w:szCs w:val="32"/>
            </w:rPr>
          </w:pPr>
          <w:r w:rsidRPr="00DC7AB0">
            <w:rPr>
              <w:sz w:val="32"/>
              <w:szCs w:val="32"/>
            </w:rPr>
            <w:t>KB pravidla pro dodavatele a zboží</w:t>
          </w:r>
        </w:p>
      </w:tc>
      <w:tc>
        <w:tcPr>
          <w:tcW w:w="3119" w:type="dxa"/>
          <w:shd w:val="clear" w:color="auto" w:fill="FFFFFF" w:themeFill="background1"/>
          <w:vAlign w:val="center"/>
        </w:tcPr>
        <w:p w14:paraId="036ED972" w14:textId="77777777" w:rsidR="00812364" w:rsidRDefault="00812364" w:rsidP="00812364">
          <w:pPr>
            <w:autoSpaceDE w:val="0"/>
            <w:autoSpaceDN w:val="0"/>
            <w:adjustRightInd w:val="0"/>
            <w:spacing w:after="0" w:line="240" w:lineRule="auto"/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</w:pPr>
          <w:r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  <w:t>SOR Libchavy spol. s r.o.</w:t>
          </w:r>
        </w:p>
        <w:p w14:paraId="4E989FD6" w14:textId="76E6F494" w:rsidR="00812364" w:rsidRDefault="00812364" w:rsidP="00812364">
          <w:pPr>
            <w:autoSpaceDE w:val="0"/>
            <w:autoSpaceDN w:val="0"/>
            <w:adjustRightInd w:val="0"/>
            <w:spacing w:after="0" w:line="240" w:lineRule="auto"/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</w:pPr>
          <w:r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  <w:t>Dolní Libchavy 48, 561 16 Libchavy</w:t>
          </w:r>
        </w:p>
        <w:p w14:paraId="5038C223" w14:textId="77777777" w:rsidR="00812364" w:rsidRDefault="00812364" w:rsidP="00812364">
          <w:pPr>
            <w:autoSpaceDE w:val="0"/>
            <w:autoSpaceDN w:val="0"/>
            <w:adjustRightInd w:val="0"/>
            <w:spacing w:after="0" w:line="240" w:lineRule="auto"/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</w:pPr>
          <w:r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  <w:t>IČ: 15030865, DIČ: CZ15030865</w:t>
          </w:r>
        </w:p>
        <w:p w14:paraId="2C7C9A0C" w14:textId="77777777" w:rsidR="00812364" w:rsidRPr="00AD6081" w:rsidRDefault="00812364" w:rsidP="00812364">
          <w:pPr>
            <w:pStyle w:val="Zhlav"/>
            <w:rPr>
              <w:rFonts w:ascii="RobotoCondensed-Regular" w:hAnsi="RobotoCondensed-Regular" w:cs="RobotoCondensed-Regular"/>
              <w:kern w:val="0"/>
              <w:sz w:val="8"/>
              <w:szCs w:val="8"/>
            </w:rPr>
          </w:pPr>
          <w:r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  <w:t xml:space="preserve">Tel.: +420 465 519 411, </w:t>
          </w:r>
          <w:r w:rsidRPr="00AD6081"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  <w:t>sor@sor.cz</w:t>
          </w:r>
        </w:p>
        <w:p w14:paraId="432E9653" w14:textId="77777777" w:rsidR="00812364" w:rsidRPr="00AD6081" w:rsidRDefault="00812364" w:rsidP="00812364">
          <w:pPr>
            <w:pStyle w:val="Zhlav"/>
            <w:rPr>
              <w:rFonts w:ascii="RobotoCondensed-Regular" w:hAnsi="RobotoCondensed-Regular" w:cs="RobotoCondensed-Regular"/>
              <w:kern w:val="0"/>
              <w:sz w:val="8"/>
              <w:szCs w:val="8"/>
            </w:rPr>
          </w:pPr>
        </w:p>
        <w:p w14:paraId="6D49D16E" w14:textId="77777777" w:rsidR="00812364" w:rsidRPr="00AD6081" w:rsidRDefault="00812364" w:rsidP="00812364">
          <w:pPr>
            <w:pStyle w:val="Zhlav"/>
            <w:rPr>
              <w:color w:val="4CB848"/>
              <w:szCs w:val="20"/>
            </w:rPr>
          </w:pPr>
          <w:r w:rsidRPr="00AD6081">
            <w:rPr>
              <w:rFonts w:ascii="RobotoCondensed-Bold" w:hAnsi="RobotoCondensed-Bold" w:cs="RobotoCondensed-Bold"/>
              <w:b/>
              <w:bCs/>
              <w:color w:val="4CB848"/>
              <w:kern w:val="0"/>
              <w:szCs w:val="20"/>
            </w:rPr>
            <w:t>www.sor.cz</w:t>
          </w:r>
        </w:p>
      </w:tc>
    </w:tr>
  </w:tbl>
  <w:p w14:paraId="10933788" w14:textId="77777777" w:rsidR="00812364" w:rsidRPr="00BF2B10" w:rsidRDefault="00812364" w:rsidP="008123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375A"/>
    <w:multiLevelType w:val="hybridMultilevel"/>
    <w:tmpl w:val="11AA0E5A"/>
    <w:lvl w:ilvl="0" w:tplc="108664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6FD5"/>
    <w:multiLevelType w:val="hybridMultilevel"/>
    <w:tmpl w:val="3D5AF17E"/>
    <w:lvl w:ilvl="0" w:tplc="2838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895"/>
    <w:multiLevelType w:val="multilevel"/>
    <w:tmpl w:val="D7509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AD7FF2"/>
    <w:multiLevelType w:val="hybridMultilevel"/>
    <w:tmpl w:val="7084E6EA"/>
    <w:lvl w:ilvl="0" w:tplc="2838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2692"/>
    <w:multiLevelType w:val="hybridMultilevel"/>
    <w:tmpl w:val="A8484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0EF8"/>
    <w:multiLevelType w:val="hybridMultilevel"/>
    <w:tmpl w:val="8EA6E6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6A5B10"/>
    <w:multiLevelType w:val="hybridMultilevel"/>
    <w:tmpl w:val="77CA2268"/>
    <w:lvl w:ilvl="0" w:tplc="2838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777F2"/>
    <w:multiLevelType w:val="hybridMultilevel"/>
    <w:tmpl w:val="8F043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B532C3"/>
    <w:multiLevelType w:val="hybridMultilevel"/>
    <w:tmpl w:val="5312410A"/>
    <w:lvl w:ilvl="0" w:tplc="108664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E6231"/>
    <w:multiLevelType w:val="hybridMultilevel"/>
    <w:tmpl w:val="63566598"/>
    <w:lvl w:ilvl="0" w:tplc="530EA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83D19"/>
    <w:multiLevelType w:val="hybridMultilevel"/>
    <w:tmpl w:val="F01AC44C"/>
    <w:lvl w:ilvl="0" w:tplc="108664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034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1F71E8"/>
    <w:multiLevelType w:val="multilevel"/>
    <w:tmpl w:val="E7F8C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6E476E"/>
    <w:multiLevelType w:val="hybridMultilevel"/>
    <w:tmpl w:val="1E1C88A2"/>
    <w:lvl w:ilvl="0" w:tplc="2838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10BA"/>
    <w:multiLevelType w:val="hybridMultilevel"/>
    <w:tmpl w:val="60620A0A"/>
    <w:lvl w:ilvl="0" w:tplc="50A659B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33E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4E33FF"/>
    <w:multiLevelType w:val="hybridMultilevel"/>
    <w:tmpl w:val="C0DC2B1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6D0F67"/>
    <w:multiLevelType w:val="hybridMultilevel"/>
    <w:tmpl w:val="B9F8DA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419E9"/>
    <w:multiLevelType w:val="hybridMultilevel"/>
    <w:tmpl w:val="79760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C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F7685B"/>
    <w:multiLevelType w:val="multilevel"/>
    <w:tmpl w:val="5288B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63F27C4B"/>
    <w:multiLevelType w:val="hybridMultilevel"/>
    <w:tmpl w:val="F5CEA4E6"/>
    <w:lvl w:ilvl="0" w:tplc="2838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87DF1"/>
    <w:multiLevelType w:val="hybridMultilevel"/>
    <w:tmpl w:val="C71AA8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103FB5"/>
    <w:multiLevelType w:val="hybridMultilevel"/>
    <w:tmpl w:val="C7A23900"/>
    <w:lvl w:ilvl="0" w:tplc="2838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629D6"/>
    <w:multiLevelType w:val="hybridMultilevel"/>
    <w:tmpl w:val="4198F0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4C0C8C"/>
    <w:multiLevelType w:val="hybridMultilevel"/>
    <w:tmpl w:val="35B6DB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1C668E"/>
    <w:multiLevelType w:val="multilevel"/>
    <w:tmpl w:val="FA1E016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2B71D58"/>
    <w:multiLevelType w:val="hybridMultilevel"/>
    <w:tmpl w:val="F6ACF098"/>
    <w:lvl w:ilvl="0" w:tplc="108664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B5159"/>
    <w:multiLevelType w:val="hybridMultilevel"/>
    <w:tmpl w:val="02F26826"/>
    <w:lvl w:ilvl="0" w:tplc="2838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53775"/>
    <w:multiLevelType w:val="hybridMultilevel"/>
    <w:tmpl w:val="14A8E8F4"/>
    <w:lvl w:ilvl="0" w:tplc="FCBA35DE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111D4"/>
    <w:multiLevelType w:val="hybridMultilevel"/>
    <w:tmpl w:val="6ACC89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5386338">
    <w:abstractNumId w:val="26"/>
  </w:num>
  <w:num w:numId="2" w16cid:durableId="656687156">
    <w:abstractNumId w:val="20"/>
  </w:num>
  <w:num w:numId="3" w16cid:durableId="1801260385">
    <w:abstractNumId w:val="29"/>
  </w:num>
  <w:num w:numId="4" w16cid:durableId="1675064235">
    <w:abstractNumId w:val="14"/>
  </w:num>
  <w:num w:numId="5" w16cid:durableId="599289808">
    <w:abstractNumId w:val="15"/>
  </w:num>
  <w:num w:numId="6" w16cid:durableId="1507132910">
    <w:abstractNumId w:val="11"/>
  </w:num>
  <w:num w:numId="7" w16cid:durableId="368452663">
    <w:abstractNumId w:val="2"/>
  </w:num>
  <w:num w:numId="8" w16cid:durableId="124545356">
    <w:abstractNumId w:val="19"/>
  </w:num>
  <w:num w:numId="9" w16cid:durableId="1805343684">
    <w:abstractNumId w:val="12"/>
  </w:num>
  <w:num w:numId="10" w16cid:durableId="276567356">
    <w:abstractNumId w:val="4"/>
  </w:num>
  <w:num w:numId="11" w16cid:durableId="134226870">
    <w:abstractNumId w:val="10"/>
  </w:num>
  <w:num w:numId="12" w16cid:durableId="84767905">
    <w:abstractNumId w:val="0"/>
  </w:num>
  <w:num w:numId="13" w16cid:durableId="400255406">
    <w:abstractNumId w:val="23"/>
  </w:num>
  <w:num w:numId="14" w16cid:durableId="277949924">
    <w:abstractNumId w:val="13"/>
  </w:num>
  <w:num w:numId="15" w16cid:durableId="2052000469">
    <w:abstractNumId w:val="1"/>
  </w:num>
  <w:num w:numId="16" w16cid:durableId="1177766901">
    <w:abstractNumId w:val="9"/>
  </w:num>
  <w:num w:numId="17" w16cid:durableId="361789554">
    <w:abstractNumId w:val="6"/>
  </w:num>
  <w:num w:numId="18" w16cid:durableId="1210916693">
    <w:abstractNumId w:val="3"/>
  </w:num>
  <w:num w:numId="19" w16cid:durableId="1903328833">
    <w:abstractNumId w:val="16"/>
  </w:num>
  <w:num w:numId="20" w16cid:durableId="110827160">
    <w:abstractNumId w:val="21"/>
  </w:num>
  <w:num w:numId="21" w16cid:durableId="1479807950">
    <w:abstractNumId w:val="28"/>
  </w:num>
  <w:num w:numId="22" w16cid:durableId="737940832">
    <w:abstractNumId w:val="8"/>
  </w:num>
  <w:num w:numId="23" w16cid:durableId="629753045">
    <w:abstractNumId w:val="27"/>
  </w:num>
  <w:num w:numId="24" w16cid:durableId="1525635750">
    <w:abstractNumId w:val="22"/>
  </w:num>
  <w:num w:numId="25" w16cid:durableId="1450975943">
    <w:abstractNumId w:val="25"/>
  </w:num>
  <w:num w:numId="26" w16cid:durableId="1479417106">
    <w:abstractNumId w:val="30"/>
  </w:num>
  <w:num w:numId="27" w16cid:durableId="826172317">
    <w:abstractNumId w:val="18"/>
  </w:num>
  <w:num w:numId="28" w16cid:durableId="555092397">
    <w:abstractNumId w:val="17"/>
  </w:num>
  <w:num w:numId="29" w16cid:durableId="2093551757">
    <w:abstractNumId w:val="5"/>
  </w:num>
  <w:num w:numId="30" w16cid:durableId="2136293577">
    <w:abstractNumId w:val="7"/>
  </w:num>
  <w:num w:numId="31" w16cid:durableId="6020385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7A"/>
    <w:rsid w:val="00043BDF"/>
    <w:rsid w:val="000478E9"/>
    <w:rsid w:val="00062B9B"/>
    <w:rsid w:val="0006398B"/>
    <w:rsid w:val="00063ABF"/>
    <w:rsid w:val="0006513C"/>
    <w:rsid w:val="000936BC"/>
    <w:rsid w:val="000A5896"/>
    <w:rsid w:val="000A68F5"/>
    <w:rsid w:val="000D0D29"/>
    <w:rsid w:val="000D519C"/>
    <w:rsid w:val="000E29D7"/>
    <w:rsid w:val="000E354F"/>
    <w:rsid w:val="000E5532"/>
    <w:rsid w:val="000E677A"/>
    <w:rsid w:val="000E6FCD"/>
    <w:rsid w:val="000F470F"/>
    <w:rsid w:val="00115ABF"/>
    <w:rsid w:val="001367D3"/>
    <w:rsid w:val="00163615"/>
    <w:rsid w:val="00166C38"/>
    <w:rsid w:val="00173331"/>
    <w:rsid w:val="00181FC1"/>
    <w:rsid w:val="00183A0C"/>
    <w:rsid w:val="00190501"/>
    <w:rsid w:val="001A0F6D"/>
    <w:rsid w:val="001C33D8"/>
    <w:rsid w:val="001C4963"/>
    <w:rsid w:val="001D242E"/>
    <w:rsid w:val="001E6BB2"/>
    <w:rsid w:val="002039D2"/>
    <w:rsid w:val="00207FE6"/>
    <w:rsid w:val="00225768"/>
    <w:rsid w:val="00234F46"/>
    <w:rsid w:val="002432DC"/>
    <w:rsid w:val="00244380"/>
    <w:rsid w:val="002B465E"/>
    <w:rsid w:val="002C0EBF"/>
    <w:rsid w:val="00325665"/>
    <w:rsid w:val="003304D5"/>
    <w:rsid w:val="00331651"/>
    <w:rsid w:val="003410B2"/>
    <w:rsid w:val="00352612"/>
    <w:rsid w:val="003615E5"/>
    <w:rsid w:val="0036245B"/>
    <w:rsid w:val="00363D32"/>
    <w:rsid w:val="00367F39"/>
    <w:rsid w:val="0037016A"/>
    <w:rsid w:val="003774A8"/>
    <w:rsid w:val="003A7DEB"/>
    <w:rsid w:val="003B2263"/>
    <w:rsid w:val="003B4CA9"/>
    <w:rsid w:val="003B5D47"/>
    <w:rsid w:val="003C7101"/>
    <w:rsid w:val="003D7E2D"/>
    <w:rsid w:val="003E6335"/>
    <w:rsid w:val="00433782"/>
    <w:rsid w:val="00476096"/>
    <w:rsid w:val="00477C62"/>
    <w:rsid w:val="00485219"/>
    <w:rsid w:val="0049488F"/>
    <w:rsid w:val="004B6C90"/>
    <w:rsid w:val="004D2260"/>
    <w:rsid w:val="00512604"/>
    <w:rsid w:val="0052432E"/>
    <w:rsid w:val="00524BC0"/>
    <w:rsid w:val="00527261"/>
    <w:rsid w:val="00544249"/>
    <w:rsid w:val="00554422"/>
    <w:rsid w:val="005568D2"/>
    <w:rsid w:val="00556C18"/>
    <w:rsid w:val="00560784"/>
    <w:rsid w:val="005633BC"/>
    <w:rsid w:val="0056346F"/>
    <w:rsid w:val="005637A2"/>
    <w:rsid w:val="00564673"/>
    <w:rsid w:val="005A76CF"/>
    <w:rsid w:val="005C720E"/>
    <w:rsid w:val="005D4409"/>
    <w:rsid w:val="005E3683"/>
    <w:rsid w:val="005F1DD4"/>
    <w:rsid w:val="0061281C"/>
    <w:rsid w:val="00613A02"/>
    <w:rsid w:val="0064087D"/>
    <w:rsid w:val="00647897"/>
    <w:rsid w:val="006624FB"/>
    <w:rsid w:val="0067496F"/>
    <w:rsid w:val="00696CA9"/>
    <w:rsid w:val="006B6BDD"/>
    <w:rsid w:val="006D48C9"/>
    <w:rsid w:val="006E6432"/>
    <w:rsid w:val="006F350D"/>
    <w:rsid w:val="00717FE6"/>
    <w:rsid w:val="00722A20"/>
    <w:rsid w:val="00726D0E"/>
    <w:rsid w:val="00727E4A"/>
    <w:rsid w:val="00741C59"/>
    <w:rsid w:val="00745F5D"/>
    <w:rsid w:val="007561BC"/>
    <w:rsid w:val="00764B05"/>
    <w:rsid w:val="007728F8"/>
    <w:rsid w:val="007930D6"/>
    <w:rsid w:val="007945A1"/>
    <w:rsid w:val="007D09D5"/>
    <w:rsid w:val="007E20C1"/>
    <w:rsid w:val="007E52FB"/>
    <w:rsid w:val="007F4FA1"/>
    <w:rsid w:val="00812364"/>
    <w:rsid w:val="00831061"/>
    <w:rsid w:val="00836AE1"/>
    <w:rsid w:val="00845BC1"/>
    <w:rsid w:val="0085515F"/>
    <w:rsid w:val="00860449"/>
    <w:rsid w:val="0086486A"/>
    <w:rsid w:val="00876446"/>
    <w:rsid w:val="008931FE"/>
    <w:rsid w:val="008A4EBC"/>
    <w:rsid w:val="008F4214"/>
    <w:rsid w:val="008F79DC"/>
    <w:rsid w:val="00905E1F"/>
    <w:rsid w:val="0092566A"/>
    <w:rsid w:val="009550DF"/>
    <w:rsid w:val="0097629E"/>
    <w:rsid w:val="009856CD"/>
    <w:rsid w:val="009A4C50"/>
    <w:rsid w:val="009C0ABC"/>
    <w:rsid w:val="009E38F3"/>
    <w:rsid w:val="009F2AEB"/>
    <w:rsid w:val="009F7797"/>
    <w:rsid w:val="00A20189"/>
    <w:rsid w:val="00A24C89"/>
    <w:rsid w:val="00A258B1"/>
    <w:rsid w:val="00A27F25"/>
    <w:rsid w:val="00A52998"/>
    <w:rsid w:val="00A678EA"/>
    <w:rsid w:val="00A770C8"/>
    <w:rsid w:val="00A83B7A"/>
    <w:rsid w:val="00AA192A"/>
    <w:rsid w:val="00AA7F53"/>
    <w:rsid w:val="00AC4374"/>
    <w:rsid w:val="00AC605C"/>
    <w:rsid w:val="00AD6081"/>
    <w:rsid w:val="00AD7700"/>
    <w:rsid w:val="00AE1CB6"/>
    <w:rsid w:val="00AF1C01"/>
    <w:rsid w:val="00B03FC8"/>
    <w:rsid w:val="00B10E40"/>
    <w:rsid w:val="00B12A30"/>
    <w:rsid w:val="00B1487A"/>
    <w:rsid w:val="00B170A7"/>
    <w:rsid w:val="00B17906"/>
    <w:rsid w:val="00B521BD"/>
    <w:rsid w:val="00B535B7"/>
    <w:rsid w:val="00B67344"/>
    <w:rsid w:val="00B85562"/>
    <w:rsid w:val="00B91A6C"/>
    <w:rsid w:val="00BA0329"/>
    <w:rsid w:val="00BA2006"/>
    <w:rsid w:val="00BB01D8"/>
    <w:rsid w:val="00BD4053"/>
    <w:rsid w:val="00BF2B10"/>
    <w:rsid w:val="00C038D8"/>
    <w:rsid w:val="00C11821"/>
    <w:rsid w:val="00C200B4"/>
    <w:rsid w:val="00C269C9"/>
    <w:rsid w:val="00C36039"/>
    <w:rsid w:val="00C628EE"/>
    <w:rsid w:val="00C67619"/>
    <w:rsid w:val="00C950FE"/>
    <w:rsid w:val="00CA78A4"/>
    <w:rsid w:val="00CC71F2"/>
    <w:rsid w:val="00D135B2"/>
    <w:rsid w:val="00D53238"/>
    <w:rsid w:val="00D5733F"/>
    <w:rsid w:val="00D63095"/>
    <w:rsid w:val="00D664B9"/>
    <w:rsid w:val="00D83507"/>
    <w:rsid w:val="00D83DEC"/>
    <w:rsid w:val="00D8433B"/>
    <w:rsid w:val="00D85C3E"/>
    <w:rsid w:val="00DA127E"/>
    <w:rsid w:val="00DC0365"/>
    <w:rsid w:val="00DC22B1"/>
    <w:rsid w:val="00DC7AB0"/>
    <w:rsid w:val="00DD0EC4"/>
    <w:rsid w:val="00DE5B0A"/>
    <w:rsid w:val="00DF70B1"/>
    <w:rsid w:val="00E3752F"/>
    <w:rsid w:val="00E477AE"/>
    <w:rsid w:val="00E55B62"/>
    <w:rsid w:val="00E57904"/>
    <w:rsid w:val="00E57C4E"/>
    <w:rsid w:val="00E92F86"/>
    <w:rsid w:val="00E97205"/>
    <w:rsid w:val="00EC12A1"/>
    <w:rsid w:val="00ED387D"/>
    <w:rsid w:val="00EE3F65"/>
    <w:rsid w:val="00EF6675"/>
    <w:rsid w:val="00F05E58"/>
    <w:rsid w:val="00F2584C"/>
    <w:rsid w:val="00F33D2B"/>
    <w:rsid w:val="00F50E30"/>
    <w:rsid w:val="00F56A77"/>
    <w:rsid w:val="00F90752"/>
    <w:rsid w:val="00F90B2B"/>
    <w:rsid w:val="00FA261B"/>
    <w:rsid w:val="00FC4E1B"/>
    <w:rsid w:val="00FD6297"/>
    <w:rsid w:val="00FD6A27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D1007"/>
  <w15:chartTrackingRefBased/>
  <w15:docId w15:val="{A5BC7694-1D5C-4450-933D-E53D2556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096"/>
    <w:pPr>
      <w:spacing w:after="60" w:line="288" w:lineRule="auto"/>
    </w:pPr>
    <w:rPr>
      <w:rFonts w:ascii="Arial CE" w:hAnsi="Arial CE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F1C01"/>
    <w:pPr>
      <w:keepNext/>
      <w:keepLines/>
      <w:numPr>
        <w:numId w:val="1"/>
      </w:numPr>
      <w:spacing w:before="120"/>
      <w:outlineLvl w:val="0"/>
    </w:pPr>
    <w:rPr>
      <w:rFonts w:eastAsiaTheme="majorEastAsia" w:cstheme="majorBidi"/>
      <w:sz w:val="36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1C01"/>
    <w:pPr>
      <w:keepNext/>
      <w:keepLines/>
      <w:numPr>
        <w:ilvl w:val="1"/>
        <w:numId w:val="1"/>
      </w:numPr>
      <w:spacing w:before="60"/>
      <w:outlineLvl w:val="1"/>
    </w:pPr>
    <w:rPr>
      <w:rFonts w:eastAsiaTheme="majorEastAsia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4D2260"/>
    <w:pPr>
      <w:keepNext/>
      <w:keepLines/>
      <w:numPr>
        <w:ilvl w:val="2"/>
        <w:numId w:val="1"/>
      </w:numPr>
      <w:spacing w:before="60"/>
      <w:outlineLvl w:val="2"/>
    </w:pPr>
    <w:rPr>
      <w:rFonts w:eastAsiaTheme="majorEastAsia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7E20C1"/>
    <w:pPr>
      <w:keepNext/>
      <w:keepLines/>
      <w:numPr>
        <w:ilvl w:val="3"/>
        <w:numId w:val="1"/>
      </w:numPr>
      <w:spacing w:before="60"/>
      <w:outlineLvl w:val="3"/>
    </w:pPr>
    <w:rPr>
      <w:rFonts w:eastAsiaTheme="majorEastAsia" w:cstheme="majorBidi"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32566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566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566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566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566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380"/>
  </w:style>
  <w:style w:type="paragraph" w:styleId="Zpat">
    <w:name w:val="footer"/>
    <w:basedOn w:val="Normln"/>
    <w:link w:val="ZpatChar"/>
    <w:uiPriority w:val="99"/>
    <w:unhideWhenUsed/>
    <w:rsid w:val="0024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380"/>
  </w:style>
  <w:style w:type="character" w:customStyle="1" w:styleId="Nadpis1Char">
    <w:name w:val="Nadpis 1 Char"/>
    <w:basedOn w:val="Standardnpsmoodstavce"/>
    <w:link w:val="Nadpis1"/>
    <w:uiPriority w:val="9"/>
    <w:rsid w:val="00AF1C01"/>
    <w:rPr>
      <w:rFonts w:ascii="Arial CE" w:eastAsiaTheme="majorEastAsia" w:hAnsi="Arial CE" w:cstheme="majorBidi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F1C01"/>
    <w:rPr>
      <w:rFonts w:ascii="Arial CE" w:eastAsiaTheme="majorEastAsia" w:hAnsi="Arial CE" w:cstheme="majorBidi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D2260"/>
    <w:rPr>
      <w:rFonts w:ascii="Arial CE" w:eastAsiaTheme="majorEastAsia" w:hAnsi="Arial CE" w:cstheme="majorBidi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E20C1"/>
    <w:rPr>
      <w:rFonts w:ascii="Arial CE" w:eastAsiaTheme="majorEastAsia" w:hAnsi="Arial CE" w:cstheme="majorBidi"/>
      <w:iCs/>
      <w:sz w:val="24"/>
    </w:rPr>
  </w:style>
  <w:style w:type="table" w:styleId="Mkatabulky">
    <w:name w:val="Table Grid"/>
    <w:basedOn w:val="Normlntabulka"/>
    <w:uiPriority w:val="39"/>
    <w:rsid w:val="00BF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325665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5665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5665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56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56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elk">
    <w:name w:val="Velké"/>
    <w:basedOn w:val="Normln"/>
    <w:link w:val="VelkChar"/>
    <w:autoRedefine/>
    <w:qFormat/>
    <w:rsid w:val="00476096"/>
    <w:pPr>
      <w:spacing w:before="60" w:line="264" w:lineRule="auto"/>
      <w:jc w:val="center"/>
    </w:pPr>
    <w:rPr>
      <w:sz w:val="36"/>
      <w:szCs w:val="24"/>
    </w:rPr>
  </w:style>
  <w:style w:type="paragraph" w:customStyle="1" w:styleId="Velk2">
    <w:name w:val="Velké 2"/>
    <w:basedOn w:val="Normln"/>
    <w:link w:val="Velk2Char"/>
    <w:autoRedefine/>
    <w:qFormat/>
    <w:rsid w:val="000478E9"/>
    <w:pPr>
      <w:spacing w:before="60"/>
      <w:jc w:val="center"/>
    </w:pPr>
    <w:rPr>
      <w:sz w:val="28"/>
    </w:rPr>
  </w:style>
  <w:style w:type="character" w:customStyle="1" w:styleId="VelkChar">
    <w:name w:val="Velké Char"/>
    <w:basedOn w:val="Standardnpsmoodstavce"/>
    <w:link w:val="Velk"/>
    <w:rsid w:val="00476096"/>
    <w:rPr>
      <w:rFonts w:ascii="Arial CE" w:hAnsi="Arial CE"/>
      <w:sz w:val="36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90B2B"/>
    <w:pPr>
      <w:numPr>
        <w:numId w:val="0"/>
      </w:num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cs-CZ"/>
      <w14:ligatures w14:val="none"/>
    </w:rPr>
  </w:style>
  <w:style w:type="character" w:customStyle="1" w:styleId="Velk2Char">
    <w:name w:val="Velké 2 Char"/>
    <w:basedOn w:val="Standardnpsmoodstavce"/>
    <w:link w:val="Velk2"/>
    <w:rsid w:val="000478E9"/>
    <w:rPr>
      <w:rFonts w:ascii="Arial CE" w:hAnsi="Arial CE"/>
      <w:sz w:val="28"/>
    </w:rPr>
  </w:style>
  <w:style w:type="character" w:styleId="Hypertextovodkaz">
    <w:name w:val="Hyperlink"/>
    <w:basedOn w:val="Standardnpsmoodstavce"/>
    <w:uiPriority w:val="99"/>
    <w:unhideWhenUsed/>
    <w:rsid w:val="006F3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50D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7F4FA1"/>
    <w:pPr>
      <w:spacing w:after="160" w:line="25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4FA1"/>
    <w:rPr>
      <w:kern w:val="0"/>
      <w14:ligatures w14:val="none"/>
    </w:rPr>
  </w:style>
  <w:style w:type="paragraph" w:styleId="Revize">
    <w:name w:val="Revision"/>
    <w:hidden/>
    <w:uiPriority w:val="99"/>
    <w:semiHidden/>
    <w:rsid w:val="006624FB"/>
    <w:pPr>
      <w:spacing w:after="0" w:line="240" w:lineRule="auto"/>
    </w:pPr>
    <w:rPr>
      <w:rFonts w:ascii="Arial CE" w:hAnsi="Arial CE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F47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znameni@sor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r.cz/wp-content/uploads/2024/04/MPQ-840-2-P&#345;&#237;loha-2-DIA.xls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rojects/cryptographic-standards-and-guidel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r.cz/wp-content/uploads/2024/04/MPQ-840-2-P&#345;&#237;loha-4-KB-dotazn&#237;k-pro-dodavatele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ukib.gov.cz/download/uredni_deska/Minimalni%20pozadavky%20na%20kryptograficke%20algoritmy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vd.nist.gov/vuln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507C56D467B4BA8CDCD537EE2BD0C" ma:contentTypeVersion="13" ma:contentTypeDescription="Vytvoří nový dokument" ma:contentTypeScope="" ma:versionID="e6ce8b7add19d5e1c119337fcfe2a38d">
  <xsd:schema xmlns:xsd="http://www.w3.org/2001/XMLSchema" xmlns:xs="http://www.w3.org/2001/XMLSchema" xmlns:p="http://schemas.microsoft.com/office/2006/metadata/properties" xmlns:ns2="c9f0a2be-0d75-488b-9e08-ebf2caca0a77" xmlns:ns3="cdfb1dc2-0a21-4630-9e04-ef167210a7b9" targetNamespace="http://schemas.microsoft.com/office/2006/metadata/properties" ma:root="true" ma:fieldsID="c240b09c17e403b88826a65917a8ef82" ns2:_="" ns3:_="">
    <xsd:import namespace="c9f0a2be-0d75-488b-9e08-ebf2caca0a77"/>
    <xsd:import namespace="cdfb1dc2-0a21-4630-9e04-ef167210a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0a2be-0d75-488b-9e08-ebf2caca0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3d492a-34e3-4bbc-b307-be6ada0c9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b1dc2-0a21-4630-9e04-ef167210a7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e49f8f-9ece-4c10-a2b1-9c15189c93f7}" ma:internalName="TaxCatchAll" ma:showField="CatchAllData" ma:web="cdfb1dc2-0a21-4630-9e04-ef167210a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fb1dc2-0a21-4630-9e04-ef167210a7b9" xsi:nil="true"/>
    <lcf76f155ced4ddcb4097134ff3c332f xmlns="c9f0a2be-0d75-488b-9e08-ebf2caca0a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4DEB91-AA83-41C8-8093-63FBCCDC7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3DB9-7A0B-4B0B-8E7A-B7749A898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0a2be-0d75-488b-9e08-ebf2caca0a77"/>
    <ds:schemaRef ds:uri="cdfb1dc2-0a21-4630-9e04-ef167210a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091BD8-0EF9-4112-970E-686CF1EE04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A2DEE0-D92B-4AB3-B227-D09B7301C493}">
  <ds:schemaRefs>
    <ds:schemaRef ds:uri="http://schemas.microsoft.com/office/2006/metadata/properties"/>
    <ds:schemaRef ds:uri="http://schemas.microsoft.com/office/infopath/2007/PartnerControls"/>
    <ds:schemaRef ds:uri="cdfb1dc2-0a21-4630-9e04-ef167210a7b9"/>
    <ds:schemaRef ds:uri="c9f0a2be-0d75-488b-9e08-ebf2caca0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Tomáš</dc:creator>
  <cp:keywords/>
  <dc:description/>
  <cp:lastModifiedBy>Stránský Tomáš SOR</cp:lastModifiedBy>
  <cp:revision>187</cp:revision>
  <dcterms:created xsi:type="dcterms:W3CDTF">2023-03-29T08:58:00Z</dcterms:created>
  <dcterms:modified xsi:type="dcterms:W3CDTF">2024-07-16T08:05:00Z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0x0101001E2507C56D467B4BA8CDCD537EE2BD0C</vt:lpwstr>
  </property>
  <property fmtid="{D5CDD505-2E9C-101B-9397-08002B2CF9AE}" pid="3" name="MediaServiceImageTags">
    <vt:lpwstr/>
  </property>
</Properties>
</file>