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C93D8" w14:textId="77777777" w:rsidR="00DC7AB0" w:rsidRPr="008F79DC" w:rsidRDefault="00DC7AB0" w:rsidP="00DC7AB0">
      <w:bookmarkStart w:id="0" w:name="_Hlk130977101"/>
      <w:bookmarkEnd w:id="0"/>
    </w:p>
    <w:p w14:paraId="5ECF3760" w14:textId="742E47FC" w:rsidR="00476096" w:rsidRPr="008F79DC" w:rsidRDefault="00476096" w:rsidP="000478E9">
      <w:pPr>
        <w:pStyle w:val="Velk2"/>
      </w:pPr>
      <w:r>
        <w:t>Zweck</w:t>
      </w:r>
    </w:p>
    <w:p w14:paraId="4E8C4DBE" w14:textId="77777777" w:rsidR="00476096" w:rsidRPr="008F79DC" w:rsidRDefault="00476096" w:rsidP="00476096">
      <w:r>
        <w:t>Diese Verordnung ist eine Zusammenfassung der Anforderungen von SOR Libchavy spol. s r.o. über Lieferanten und Waren, die als KB-relevant bewertet wurden. Der Zweck besteht darin, die Anforderungen des CSMS (Cyber Security Management System) zu erfüllen, das in der UNECE R 155-Verordnung definiert ist.</w:t>
      </w:r>
    </w:p>
    <w:p w14:paraId="778F5321" w14:textId="77777777" w:rsidR="00476096" w:rsidRPr="008F79DC" w:rsidRDefault="00476096" w:rsidP="00476096"/>
    <w:p w14:paraId="50750269" w14:textId="77777777" w:rsidR="00476096" w:rsidRPr="008F79DC" w:rsidRDefault="00476096" w:rsidP="000478E9">
      <w:pPr>
        <w:pStyle w:val="Velk2"/>
      </w:pPr>
      <w:r>
        <w:t>Übersicht der Begriffe</w:t>
      </w:r>
    </w:p>
    <w:p w14:paraId="33EA65DD" w14:textId="77777777" w:rsidR="00476096" w:rsidRPr="008F79DC" w:rsidRDefault="00476096" w:rsidP="00476096">
      <w:r>
        <w:t>KB oder CySe (Cyber Security)</w:t>
      </w:r>
      <w:r>
        <w:tab/>
      </w:r>
      <w:r>
        <w:tab/>
      </w:r>
      <w:r>
        <w:tab/>
      </w:r>
      <w:r>
        <w:tab/>
        <w:t>Cyber-Sicherheit</w:t>
      </w:r>
    </w:p>
    <w:p w14:paraId="4252A275" w14:textId="77777777" w:rsidR="00476096" w:rsidRPr="008F79DC" w:rsidRDefault="00476096" w:rsidP="00476096">
      <w:r>
        <w:t>CSMS (Cyber Security Management System)</w:t>
      </w:r>
      <w:r>
        <w:tab/>
      </w:r>
      <w:r>
        <w:tab/>
        <w:t>Managementsystem für Cyber-Sicherheit</w:t>
      </w:r>
    </w:p>
    <w:p w14:paraId="772F2DCE" w14:textId="77777777" w:rsidR="00476096" w:rsidRPr="008F79DC" w:rsidRDefault="00476096" w:rsidP="00476096">
      <w:r>
        <w:t>SUMS (Software Update Management System)</w:t>
      </w:r>
      <w:r>
        <w:tab/>
      </w:r>
      <w:r>
        <w:tab/>
        <w:t>Managementsystem für Softwareaktualisierung</w:t>
      </w:r>
    </w:p>
    <w:p w14:paraId="75C3A72D" w14:textId="77777777" w:rsidR="00476096" w:rsidRPr="008F79DC" w:rsidRDefault="00476096" w:rsidP="00476096">
      <w:pPr>
        <w:ind w:left="4950" w:hanging="4950"/>
      </w:pPr>
      <w:r>
        <w:t>KB Komponente</w:t>
      </w:r>
      <w:r>
        <w:tab/>
        <w:t>KB relevante Ware (Steuergeräte, Converter, Sensoren, …)</w:t>
      </w:r>
    </w:p>
    <w:p w14:paraId="6DF161FB" w14:textId="77777777" w:rsidR="00476096" w:rsidRPr="008F79DC" w:rsidRDefault="00476096" w:rsidP="00476096">
      <w:pPr>
        <w:ind w:left="4950" w:hanging="4950"/>
      </w:pPr>
    </w:p>
    <w:p w14:paraId="6048C51B" w14:textId="4C659AE8" w:rsidR="00476096" w:rsidRPr="008F79DC" w:rsidRDefault="00476096" w:rsidP="000478E9">
      <w:pPr>
        <w:pStyle w:val="Velk2"/>
      </w:pPr>
      <w:r>
        <w:t xml:space="preserve">Definition </w:t>
      </w:r>
      <w:r w:rsidR="005A43FC">
        <w:t>der</w:t>
      </w:r>
      <w:r>
        <w:t xml:space="preserve"> KB relevante</w:t>
      </w:r>
      <w:r w:rsidR="005A43FC">
        <w:t>n</w:t>
      </w:r>
      <w:r>
        <w:t xml:space="preserve"> Ware (Komponenten)</w:t>
      </w:r>
    </w:p>
    <w:p w14:paraId="62BE7E70" w14:textId="705BDF7E" w:rsidR="00476096" w:rsidRPr="008F79DC" w:rsidRDefault="00476096" w:rsidP="00476096">
      <w:r>
        <w:rPr>
          <w:b/>
          <w:bCs/>
        </w:rPr>
        <w:t xml:space="preserve">Die KB relevante Ware definiert die SOR. </w:t>
      </w:r>
      <w:r>
        <w:t>Im Allgemeinen handelt es sich hierbei um jede Ware, das aus Sicht der Cybersicherheit relevant ist. Die Ware ist KB relevant, wenn</w:t>
      </w:r>
    </w:p>
    <w:p w14:paraId="0755F082" w14:textId="1AD2685D" w:rsidR="0056346F" w:rsidRPr="008F79DC" w:rsidRDefault="0056346F" w:rsidP="00FD6297">
      <w:pPr>
        <w:pStyle w:val="Odstavecseseznamem"/>
        <w:numPr>
          <w:ilvl w:val="0"/>
          <w:numId w:val="22"/>
        </w:numPr>
      </w:pPr>
      <w:r>
        <w:t>es sich um eine elektronische Komponente, die an Bus A angeschlossen ist, handelt</w:t>
      </w:r>
    </w:p>
    <w:p w14:paraId="06F86021" w14:textId="43BE41AA" w:rsidR="0056346F" w:rsidRPr="008F79DC" w:rsidRDefault="0056346F" w:rsidP="00FD6297">
      <w:pPr>
        <w:pStyle w:val="Odstavecseseznamem"/>
        <w:numPr>
          <w:ilvl w:val="0"/>
          <w:numId w:val="22"/>
        </w:numPr>
      </w:pPr>
      <w:r>
        <w:t>die Gesundheit oder das Leben einer Person (z. B. indem sie eine gefährliche Situation herbeiführt oder das Fahren eines Fahrzeugs beeinträchtigt) oder die Umwelt oder vertrauliche Informationen beeinträchtigen kann ODER</w:t>
      </w:r>
    </w:p>
    <w:p w14:paraId="2164DA2C" w14:textId="0689055D" w:rsidR="00C11821" w:rsidRPr="008F79DC" w:rsidRDefault="005A43FC" w:rsidP="00FD6297">
      <w:pPr>
        <w:pStyle w:val="Odstavecseseznamem"/>
        <w:numPr>
          <w:ilvl w:val="0"/>
          <w:numId w:val="22"/>
        </w:numPr>
      </w:pPr>
      <w:r>
        <w:t>bei ihr</w:t>
      </w:r>
      <w:r w:rsidR="0056346F">
        <w:t xml:space="preserve"> die Möglichkeit einer externen Verbindung </w:t>
      </w:r>
      <w:r>
        <w:t>besteht</w:t>
      </w:r>
      <w:r w:rsidR="0056346F">
        <w:t xml:space="preserve"> (Anschluss, Internet, WIFI).</w:t>
      </w:r>
    </w:p>
    <w:p w14:paraId="7A69D1ED" w14:textId="77777777" w:rsidR="00476096" w:rsidRPr="008F79DC" w:rsidRDefault="00476096" w:rsidP="00C11821"/>
    <w:p w14:paraId="3E551882" w14:textId="77777777" w:rsidR="00DC7AB0" w:rsidRPr="008F79DC" w:rsidRDefault="00DC7AB0" w:rsidP="00C11821"/>
    <w:p w14:paraId="48A77499" w14:textId="77777777" w:rsidR="00476096" w:rsidRPr="008F79DC" w:rsidRDefault="00476096" w:rsidP="00476096">
      <w:pPr>
        <w:pStyle w:val="Velk"/>
      </w:pPr>
      <w:r>
        <w:t>KB ANFORDERUNGEN AN LIEFERANTEN UND WAREN</w:t>
      </w:r>
    </w:p>
    <w:p w14:paraId="5B30E307" w14:textId="77777777" w:rsidR="00476096" w:rsidRPr="008F79DC" w:rsidRDefault="00476096" w:rsidP="00476096"/>
    <w:p w14:paraId="7D826E63" w14:textId="6F1E137D" w:rsidR="00476096" w:rsidRPr="008F79DC" w:rsidRDefault="00476096" w:rsidP="000478E9">
      <w:pPr>
        <w:pStyle w:val="Velk2"/>
      </w:pPr>
      <w:r>
        <w:t xml:space="preserve">KB Anforderungen </w:t>
      </w:r>
      <w:r w:rsidR="005A43FC">
        <w:t>an</w:t>
      </w:r>
      <w:r>
        <w:t xml:space="preserve"> Lieferanten</w:t>
      </w:r>
    </w:p>
    <w:p w14:paraId="0FD1CCEB" w14:textId="3BE76A93" w:rsidR="00476096" w:rsidRPr="008F79DC" w:rsidRDefault="00476096" w:rsidP="00476096">
      <w:r>
        <w:t xml:space="preserve">Vor der Umsetzung der ersten Lieferung der KB Komponente und darüber hinaus im Rahmen der regelmäßigen Lieferantenbewertung muss der Lieferant </w:t>
      </w:r>
      <w:r w:rsidR="005A43FC">
        <w:t>der</w:t>
      </w:r>
      <w:r>
        <w:t xml:space="preserve"> SOR folgende Dokumente vorlegen, die einen ausreichenden Ansatz zur Gewährleistung der Cybersicherheit seiner Organisation dokumentieren:</w:t>
      </w:r>
    </w:p>
    <w:p w14:paraId="677A5C5B" w14:textId="72472C50" w:rsidR="00476096" w:rsidRPr="008F79DC" w:rsidRDefault="00554422" w:rsidP="00331651">
      <w:pPr>
        <w:pStyle w:val="Odstavecseseznamem"/>
        <w:numPr>
          <w:ilvl w:val="0"/>
          <w:numId w:val="12"/>
        </w:numPr>
        <w:spacing w:after="60" w:line="288" w:lineRule="auto"/>
      </w:pPr>
      <w:r>
        <w:t>KB Zertifikat der Organisation, z. B.:</w:t>
      </w:r>
      <w:r>
        <w:rPr>
          <w:b/>
          <w:bCs/>
        </w:rPr>
        <w:t xml:space="preserve"> </w:t>
      </w:r>
      <w:bookmarkStart w:id="1" w:name="_Hlk148682661"/>
      <w:r>
        <w:rPr>
          <w:b/>
          <w:bCs/>
        </w:rPr>
        <w:t xml:space="preserve">UNECE R 155, </w:t>
      </w:r>
      <w:bookmarkEnd w:id="1"/>
      <w:r>
        <w:rPr>
          <w:b/>
          <w:bCs/>
        </w:rPr>
        <w:t xml:space="preserve">ISO 27001, ISO 21434 </w:t>
      </w:r>
      <w:r>
        <w:t xml:space="preserve">oder </w:t>
      </w:r>
      <w:r>
        <w:rPr>
          <w:b/>
          <w:bCs/>
        </w:rPr>
        <w:t>TISAX</w:t>
      </w:r>
      <w:r>
        <w:t xml:space="preserve"> ausgestellt durch eine autorisierte Person; oder</w:t>
      </w:r>
    </w:p>
    <w:p w14:paraId="5C3604B2" w14:textId="7F896968" w:rsidR="00476096" w:rsidRPr="008F79DC" w:rsidRDefault="00476096" w:rsidP="00476096">
      <w:pPr>
        <w:pStyle w:val="Odstavecseseznamem"/>
        <w:numPr>
          <w:ilvl w:val="0"/>
          <w:numId w:val="12"/>
        </w:numPr>
        <w:spacing w:after="60" w:line="288" w:lineRule="auto"/>
      </w:pPr>
      <w:r>
        <w:t xml:space="preserve">Nachweis über die </w:t>
      </w:r>
      <w:r w:rsidR="005A43FC">
        <w:t>Klassifizierung</w:t>
      </w:r>
      <w:r>
        <w:t xml:space="preserve"> der Organisation als Pflichtperson gemäß der Richtlinie (EU) 2022/2555 des Europäischen Parlaments und des Rates – abgekürzt „</w:t>
      </w:r>
      <w:r>
        <w:rPr>
          <w:b/>
        </w:rPr>
        <w:t>NIS2</w:t>
      </w:r>
      <w:r>
        <w:t>“; oder</w:t>
      </w:r>
    </w:p>
    <w:p w14:paraId="1F5F0140" w14:textId="20C6AEDF" w:rsidR="00476096" w:rsidRPr="008F79DC" w:rsidRDefault="00476096" w:rsidP="00476096">
      <w:pPr>
        <w:pStyle w:val="Odstavecseseznamem"/>
        <w:numPr>
          <w:ilvl w:val="0"/>
          <w:numId w:val="12"/>
        </w:numPr>
        <w:spacing w:after="60" w:line="288" w:lineRule="auto"/>
      </w:pPr>
      <w:r>
        <w:t xml:space="preserve">ausgefüllte Umfrage </w:t>
      </w:r>
      <w:hyperlink r:id="rId11" w:history="1">
        <w:r>
          <w:rPr>
            <w:rStyle w:val="Hypertextovodkaz"/>
            <w:b/>
            <w:bCs/>
          </w:rPr>
          <w:t>KB (CySe) Umfrage für Lieferanten</w:t>
        </w:r>
      </w:hyperlink>
      <w:r>
        <w:t>, die eine eidesstattliche Erklärung enthält. SOR behält sich das Recht vor, d</w:t>
      </w:r>
      <w:r w:rsidR="005A43FC">
        <w:t>ie</w:t>
      </w:r>
      <w:r>
        <w:t xml:space="preserve"> Wahrhaftigkeit der eidesstattlichen Erklärung durch ein Kundenaudit beim Lieferanten zu überprüfen.</w:t>
      </w:r>
    </w:p>
    <w:p w14:paraId="1ABFACE6" w14:textId="6738277C" w:rsidR="00476096" w:rsidRPr="008F79DC" w:rsidRDefault="00BD4053" w:rsidP="00FD6297">
      <w:pPr>
        <w:pStyle w:val="Odstavecseseznamem"/>
        <w:numPr>
          <w:ilvl w:val="0"/>
          <w:numId w:val="12"/>
        </w:numPr>
      </w:pPr>
      <w:r>
        <w:t xml:space="preserve">Und gleichzeitig </w:t>
      </w:r>
      <w:hyperlink r:id="rId12" w:history="1">
        <w:r>
          <w:rPr>
            <w:rStyle w:val="Hypertextovodkaz"/>
            <w:b/>
            <w:bCs/>
          </w:rPr>
          <w:t>KB (CySe) Abkommen über Schnittstelle der Cyber-Sicherheit DIA</w:t>
        </w:r>
      </w:hyperlink>
      <w:r>
        <w:t>, ggf. die eigene Version des Abkommens.</w:t>
      </w:r>
    </w:p>
    <w:p w14:paraId="4658B352" w14:textId="7639D9F9" w:rsidR="00476096" w:rsidRPr="008F79DC" w:rsidRDefault="00476096" w:rsidP="00476096">
      <w:r>
        <w:t>Bei der jährlichen Lieferantenbewertung wird überprüft, ob der Lieferant die oben genannten Bedingungen stets erfüllt. Seitens SOR erfolgt diese Beurteilung und Kontaktaufnahme mit dem Lieferanten durch die Einkaufsabteilung (in Zusammenarbeit mit dem KB-Manager).</w:t>
      </w:r>
    </w:p>
    <w:p w14:paraId="0140581F" w14:textId="77777777" w:rsidR="00E55B62" w:rsidRPr="008F79DC" w:rsidRDefault="00E55B62" w:rsidP="00476096"/>
    <w:p w14:paraId="0FC9FBC6" w14:textId="7A07331A" w:rsidR="00ED387D" w:rsidRPr="008F79DC" w:rsidRDefault="00ED387D" w:rsidP="00476096">
      <w:r>
        <w:lastRenderedPageBreak/>
        <w:t>Der Lieferant ist ferner verpflichtet:</w:t>
      </w:r>
    </w:p>
    <w:p w14:paraId="5364A0AF" w14:textId="53EA363B" w:rsidR="00ED387D" w:rsidRPr="008F79DC" w:rsidRDefault="002432DC" w:rsidP="002432DC">
      <w:pPr>
        <w:pStyle w:val="Odstavecseseznamem"/>
        <w:numPr>
          <w:ilvl w:val="0"/>
          <w:numId w:val="12"/>
        </w:numPr>
        <w:spacing w:after="60" w:line="288" w:lineRule="auto"/>
      </w:pPr>
      <w:r>
        <w:t xml:space="preserve">SOR unverzüglich über das Auftreten einer schwerwiegenden </w:t>
      </w:r>
      <w:r>
        <w:rPr>
          <w:b/>
        </w:rPr>
        <w:t xml:space="preserve">Sicherheitslücke </w:t>
      </w:r>
      <w:r>
        <w:t xml:space="preserve">oder </w:t>
      </w:r>
      <w:r>
        <w:rPr>
          <w:b/>
          <w:bCs/>
        </w:rPr>
        <w:t>Cyber-Vorfall</w:t>
      </w:r>
      <w:r>
        <w:t xml:space="preserve"> oder der </w:t>
      </w:r>
      <w:r w:rsidR="00567BAA">
        <w:rPr>
          <w:b/>
        </w:rPr>
        <w:t>Erstellung</w:t>
      </w:r>
      <w:r>
        <w:rPr>
          <w:b/>
        </w:rPr>
        <w:t xml:space="preserve"> einer kritischen Aktualisierung</w:t>
      </w:r>
      <w:r>
        <w:rPr>
          <w:b/>
          <w:bCs/>
        </w:rPr>
        <w:t xml:space="preserve"> </w:t>
      </w:r>
      <w:r>
        <w:t xml:space="preserve">(mit potentiellen Auswirkungen auf die Sicherheit der Fahrgäste) informieren, und dies auf die E-Mail: </w:t>
      </w:r>
      <w:hyperlink r:id="rId13" w:history="1">
        <w:r>
          <w:rPr>
            <w:rStyle w:val="Hypertextovodkaz"/>
          </w:rPr>
          <w:t>oznameni@sor.cz</w:t>
        </w:r>
      </w:hyperlink>
      <w:r>
        <w:t>.</w:t>
      </w:r>
    </w:p>
    <w:p w14:paraId="04304D23" w14:textId="77777777" w:rsidR="000478E9" w:rsidRPr="008F79DC" w:rsidRDefault="000478E9" w:rsidP="000478E9"/>
    <w:p w14:paraId="70D47039" w14:textId="77777777" w:rsidR="00476096" w:rsidRPr="008F79DC" w:rsidRDefault="00476096" w:rsidP="000478E9">
      <w:pPr>
        <w:pStyle w:val="Velk2"/>
      </w:pPr>
      <w:r>
        <w:t>KB Anforderungen an eingekaufte Komponenten</w:t>
      </w:r>
    </w:p>
    <w:p w14:paraId="20E22003" w14:textId="4E15CE5B" w:rsidR="00476096" w:rsidRPr="008F79DC" w:rsidRDefault="00476096" w:rsidP="00476096">
      <w:r>
        <w:t>Handelt es sich um eine KB Komponente, ist der Lieferant verpflichtet, zur Lieferung beizulegen:</w:t>
      </w:r>
    </w:p>
    <w:p w14:paraId="1DF2DCBF" w14:textId="150A548F" w:rsidR="00476096" w:rsidRPr="008F79DC" w:rsidRDefault="00476096" w:rsidP="00476096">
      <w:pPr>
        <w:pStyle w:val="Odstavecseseznamem"/>
        <w:numPr>
          <w:ilvl w:val="0"/>
          <w:numId w:val="13"/>
        </w:numPr>
        <w:tabs>
          <w:tab w:val="left" w:pos="6240"/>
        </w:tabs>
        <w:spacing w:after="60" w:line="288" w:lineRule="auto"/>
      </w:pPr>
      <w:r>
        <w:t xml:space="preserve">CSMS </w:t>
      </w:r>
      <w:r>
        <w:rPr>
          <w:b/>
        </w:rPr>
        <w:t>Zertifikat</w:t>
      </w:r>
      <w:r>
        <w:t xml:space="preserve"> für Ware gemäß UNECE R 155, ausgestellt von einer autorisierten Person, sofern vorhanden;</w:t>
      </w:r>
    </w:p>
    <w:p w14:paraId="191F74CC" w14:textId="3AC80BFD" w:rsidR="000A5896" w:rsidRPr="008F79DC" w:rsidRDefault="000A5896" w:rsidP="00476096">
      <w:pPr>
        <w:pStyle w:val="Odstavecseseznamem"/>
        <w:numPr>
          <w:ilvl w:val="0"/>
          <w:numId w:val="13"/>
        </w:numPr>
        <w:tabs>
          <w:tab w:val="left" w:pos="6240"/>
        </w:tabs>
        <w:spacing w:after="60" w:line="288" w:lineRule="auto"/>
      </w:pPr>
      <w:r>
        <w:t xml:space="preserve">aktuelle Ergebnisse der </w:t>
      </w:r>
      <w:r>
        <w:rPr>
          <w:b/>
        </w:rPr>
        <w:t>TARA</w:t>
      </w:r>
      <w:r>
        <w:t xml:space="preserve"> Analyse (wir bevorzugen die Methodik nach ISO/SAE 21434):</w:t>
      </w:r>
    </w:p>
    <w:p w14:paraId="6F53F78C" w14:textId="530F80F2" w:rsidR="003D7E2D" w:rsidRPr="008F79DC" w:rsidRDefault="00476096" w:rsidP="00FD6297">
      <w:pPr>
        <w:pStyle w:val="Odstavecseseznamem"/>
        <w:numPr>
          <w:ilvl w:val="0"/>
          <w:numId w:val="25"/>
        </w:numPr>
        <w:tabs>
          <w:tab w:val="left" w:pos="6240"/>
        </w:tabs>
      </w:pPr>
      <w:r>
        <w:rPr>
          <w:b/>
        </w:rPr>
        <w:t>Risiken</w:t>
      </w:r>
      <w:r>
        <w:t>, die sich aus der TARA Analyse ergeben,</w:t>
      </w:r>
    </w:p>
    <w:p w14:paraId="3CCB8BB1" w14:textId="39AA4D1C" w:rsidR="00C628EE" w:rsidRPr="008F79DC" w:rsidRDefault="00476096" w:rsidP="00FD6297">
      <w:pPr>
        <w:pStyle w:val="Odstavecseseznamem"/>
        <w:numPr>
          <w:ilvl w:val="0"/>
          <w:numId w:val="25"/>
        </w:numPr>
        <w:tabs>
          <w:tab w:val="left" w:pos="6240"/>
        </w:tabs>
      </w:pPr>
      <w:r>
        <w:rPr>
          <w:b/>
        </w:rPr>
        <w:t>technische Maßnahmen</w:t>
      </w:r>
      <w:r>
        <w:t>, die ihre negativen Auswirkungen abmildern;</w:t>
      </w:r>
    </w:p>
    <w:p w14:paraId="64646C5D" w14:textId="55D44506" w:rsidR="000A5896" w:rsidRPr="008F79DC" w:rsidRDefault="00433782" w:rsidP="00FD6297">
      <w:pPr>
        <w:pStyle w:val="Odstavecseseznamem"/>
        <w:numPr>
          <w:ilvl w:val="0"/>
          <w:numId w:val="13"/>
        </w:numPr>
        <w:spacing w:after="60" w:line="288" w:lineRule="auto"/>
      </w:pPr>
      <w:r>
        <w:t>Komponente:</w:t>
      </w:r>
    </w:p>
    <w:p w14:paraId="2EBBD933" w14:textId="5A668668" w:rsidR="00D63095" w:rsidRPr="008F79DC" w:rsidRDefault="00D63095" w:rsidP="00D63095">
      <w:pPr>
        <w:pStyle w:val="Odstavecseseznamem"/>
        <w:numPr>
          <w:ilvl w:val="0"/>
          <w:numId w:val="26"/>
        </w:numPr>
      </w:pPr>
      <w:r>
        <w:t xml:space="preserve">die Komponente </w:t>
      </w:r>
      <w:r>
        <w:rPr>
          <w:b/>
        </w:rPr>
        <w:t>eindeutig identifizieren</w:t>
      </w:r>
      <w:r>
        <w:t>, wenn sie für Test- oder Entwicklungszwecke bestimmt ist,</w:t>
      </w:r>
    </w:p>
    <w:p w14:paraId="23A9D349" w14:textId="1FA17ABD" w:rsidR="003E6335" w:rsidRPr="008F79DC" w:rsidRDefault="000D519C" w:rsidP="00D63095">
      <w:pPr>
        <w:pStyle w:val="Odstavecseseznamem"/>
        <w:numPr>
          <w:ilvl w:val="0"/>
          <w:numId w:val="26"/>
        </w:numPr>
      </w:pPr>
      <w:r>
        <w:t xml:space="preserve">bei Serienfahrzeugen </w:t>
      </w:r>
      <w:r>
        <w:rPr>
          <w:b/>
        </w:rPr>
        <w:t>ausschließlich die OBD-Buchse und das UDS-Protokoll</w:t>
      </w:r>
      <w:r>
        <w:t xml:space="preserve"> für CAN-Diagnose und SW-Update nutzen,</w:t>
      </w:r>
    </w:p>
    <w:p w14:paraId="5F316A20" w14:textId="3FD38B6C" w:rsidR="00476096" w:rsidRPr="008F79DC" w:rsidRDefault="00717FE6" w:rsidP="00FD6297">
      <w:pPr>
        <w:pStyle w:val="Odstavecseseznamem"/>
        <w:numPr>
          <w:ilvl w:val="0"/>
          <w:numId w:val="26"/>
        </w:numPr>
      </w:pPr>
      <w:r>
        <w:rPr>
          <w:b/>
        </w:rPr>
        <w:t>Ergebnisse von Penetrationstests</w:t>
      </w:r>
      <w:r>
        <w:t>, einschließlich Korrekturen von Befunden, sofern verfügbar;</w:t>
      </w:r>
    </w:p>
    <w:p w14:paraId="785BE9CE" w14:textId="21407174" w:rsidR="009C0ABC" w:rsidRPr="008F79DC" w:rsidRDefault="009C0ABC" w:rsidP="00476096">
      <w:pPr>
        <w:pStyle w:val="Odstavecseseznamem"/>
        <w:numPr>
          <w:ilvl w:val="0"/>
          <w:numId w:val="13"/>
        </w:numPr>
        <w:spacing w:after="60" w:line="288" w:lineRule="auto"/>
      </w:pPr>
      <w:r>
        <w:t>Software:</w:t>
      </w:r>
    </w:p>
    <w:p w14:paraId="168C0E19" w14:textId="77777777" w:rsidR="00E57904" w:rsidRPr="008F79DC" w:rsidRDefault="00E57904" w:rsidP="00FD6297">
      <w:pPr>
        <w:pStyle w:val="Odstavecseseznamem"/>
        <w:numPr>
          <w:ilvl w:val="0"/>
          <w:numId w:val="29"/>
        </w:numPr>
      </w:pPr>
      <w:r>
        <w:rPr>
          <w:b/>
        </w:rPr>
        <w:t>Anleitungen für Diagnosesoftware,</w:t>
      </w:r>
    </w:p>
    <w:p w14:paraId="17DA03A1" w14:textId="11F2BB9A" w:rsidR="00D8433B" w:rsidRPr="008F79DC" w:rsidRDefault="00E57904" w:rsidP="00FD6297">
      <w:pPr>
        <w:pStyle w:val="Odstavecseseznamem"/>
        <w:numPr>
          <w:ilvl w:val="0"/>
          <w:numId w:val="29"/>
        </w:numPr>
      </w:pPr>
      <w:r>
        <w:t xml:space="preserve">sichere </w:t>
      </w:r>
      <w:r>
        <w:rPr>
          <w:b/>
        </w:rPr>
        <w:t>Verfahren zum Aktualisieren von SW</w:t>
      </w:r>
      <w:r>
        <w:t xml:space="preserve"> oder Geräteparametern,</w:t>
      </w:r>
    </w:p>
    <w:p w14:paraId="463E06C9" w14:textId="0318C921" w:rsidR="00556C18" w:rsidRPr="008F79DC" w:rsidRDefault="00C950FE" w:rsidP="00FD6297">
      <w:pPr>
        <w:pStyle w:val="Odstavecseseznamem"/>
        <w:numPr>
          <w:ilvl w:val="0"/>
          <w:numId w:val="29"/>
        </w:numPr>
      </w:pPr>
      <w:r>
        <w:t xml:space="preserve">sicherer </w:t>
      </w:r>
      <w:r>
        <w:rPr>
          <w:b/>
        </w:rPr>
        <w:t>Zugriff auf aktuelle SW-Versionen</w:t>
      </w:r>
      <w:r>
        <w:t>,</w:t>
      </w:r>
    </w:p>
    <w:p w14:paraId="1F14699A" w14:textId="193BBE73" w:rsidR="00AD7700" w:rsidRPr="008F79DC" w:rsidRDefault="00556C18" w:rsidP="00AD7700">
      <w:pPr>
        <w:pStyle w:val="Odstavecseseznamem"/>
        <w:numPr>
          <w:ilvl w:val="0"/>
          <w:numId w:val="29"/>
        </w:numPr>
      </w:pPr>
      <w:r>
        <w:rPr>
          <w:b/>
        </w:rPr>
        <w:t>SW</w:t>
      </w:r>
      <w:r>
        <w:t xml:space="preserve">, die für den Fahrzeugbetrieb an Land bestimmt </w:t>
      </w:r>
      <w:r w:rsidR="009D682D">
        <w:t>sind</w:t>
      </w:r>
      <w:r>
        <w:t xml:space="preserve">, eindeutig von gefährlichen SW oder Test-SW </w:t>
      </w:r>
      <w:r>
        <w:rPr>
          <w:b/>
        </w:rPr>
        <w:t>unterscheiden</w:t>
      </w:r>
      <w:r>
        <w:t>,</w:t>
      </w:r>
    </w:p>
    <w:p w14:paraId="26594FE8" w14:textId="20ECBDC7" w:rsidR="007728F8" w:rsidRPr="008F79DC" w:rsidRDefault="001C33D8" w:rsidP="00AD7700">
      <w:pPr>
        <w:pStyle w:val="Odstavecseseznamem"/>
        <w:numPr>
          <w:ilvl w:val="0"/>
          <w:numId w:val="29"/>
        </w:numPr>
      </w:pPr>
      <w:r>
        <w:t xml:space="preserve">Gewährleistung der </w:t>
      </w:r>
      <w:r>
        <w:rPr>
          <w:b/>
        </w:rPr>
        <w:t>Unveränderlichkeit der SW während des Updates</w:t>
      </w:r>
      <w:r>
        <w:t xml:space="preserve"> (z. B. Online-Update, elektronische Signatur oder Prüfsumme, Verschlüsselung usw.),</w:t>
      </w:r>
    </w:p>
    <w:p w14:paraId="67E20467" w14:textId="5ABC4E5C" w:rsidR="00B1487A" w:rsidRPr="008F79DC" w:rsidRDefault="0006398B" w:rsidP="00FD6297">
      <w:pPr>
        <w:pStyle w:val="Odstavecseseznamem"/>
        <w:numPr>
          <w:ilvl w:val="0"/>
          <w:numId w:val="29"/>
        </w:numPr>
      </w:pPr>
      <w:r>
        <w:t xml:space="preserve">Ergebnisse der </w:t>
      </w:r>
      <w:r>
        <w:rPr>
          <w:b/>
          <w:bCs/>
        </w:rPr>
        <w:t>SW Tests</w:t>
      </w:r>
      <w:r>
        <w:t xml:space="preserve"> (z. B. CVE und CVSS oder Vergleich mit </w:t>
      </w:r>
      <w:hyperlink r:id="rId14" w:history="1">
        <w:r>
          <w:rPr>
            <w:rStyle w:val="Hypertextovodkaz"/>
          </w:rPr>
          <w:t>nvd.nist.gov</w:t>
        </w:r>
      </w:hyperlink>
      <w:r>
        <w:t>);</w:t>
      </w:r>
    </w:p>
    <w:p w14:paraId="7DF3840D" w14:textId="0BA6AF55" w:rsidR="006B6BDD" w:rsidRPr="008F79DC" w:rsidRDefault="006B6BDD" w:rsidP="00476096">
      <w:pPr>
        <w:pStyle w:val="Odstavecseseznamem"/>
        <w:numPr>
          <w:ilvl w:val="0"/>
          <w:numId w:val="13"/>
        </w:numPr>
        <w:spacing w:after="60" w:line="288" w:lineRule="auto"/>
      </w:pPr>
      <w:r>
        <w:t>Verschlüsselung:</w:t>
      </w:r>
    </w:p>
    <w:p w14:paraId="7ED139D3" w14:textId="62908C82" w:rsidR="006B6BDD" w:rsidRPr="008F79DC" w:rsidRDefault="006B6BDD" w:rsidP="006B6BDD">
      <w:pPr>
        <w:pStyle w:val="Odstavecseseznamem"/>
        <w:numPr>
          <w:ilvl w:val="0"/>
          <w:numId w:val="31"/>
        </w:numPr>
      </w:pPr>
      <w:r>
        <w:t xml:space="preserve">Komponenten und SW, die durch </w:t>
      </w:r>
      <w:r>
        <w:rPr>
          <w:b/>
        </w:rPr>
        <w:t>sichere kryptografische Protokolle, Verschlüsselungen und Hashing-Funktionen</w:t>
      </w:r>
      <w:r>
        <w:t xml:space="preserve"> geschützt sind, also keine bekannten Schwachstellen aufweisen (gemäß NÚKIB oder NIST) und diesen Status regelmäßig (mindestens einmal im Jahr) vergleichen,</w:t>
      </w:r>
    </w:p>
    <w:p w14:paraId="0DB71D8B" w14:textId="5F1298A9" w:rsidR="00527261" w:rsidRPr="008F79DC" w:rsidRDefault="006B6BDD" w:rsidP="008F79DC">
      <w:pPr>
        <w:pStyle w:val="Odstavecseseznamem"/>
        <w:numPr>
          <w:ilvl w:val="0"/>
          <w:numId w:val="31"/>
        </w:numPr>
      </w:pPr>
      <w:r>
        <w:t>bei Verwendung anderer (nicht zugelassener) Verschlüsselungsalgorithmen ist der SOR zu informieren,</w:t>
      </w:r>
    </w:p>
    <w:p w14:paraId="3095A953" w14:textId="77777777" w:rsidR="008F79DC" w:rsidRDefault="008F79DC" w:rsidP="008F79DC">
      <w:pPr>
        <w:pStyle w:val="Odstavecseseznamem"/>
        <w:numPr>
          <w:ilvl w:val="0"/>
          <w:numId w:val="31"/>
        </w:numPr>
      </w:pPr>
      <w:r>
        <w:t>aktuelle Links:</w:t>
      </w:r>
    </w:p>
    <w:p w14:paraId="42346933" w14:textId="5F64F9FD" w:rsidR="008F79DC" w:rsidRDefault="00D40400" w:rsidP="008F79DC">
      <w:pPr>
        <w:pStyle w:val="Odstavecseseznamem"/>
        <w:numPr>
          <w:ilvl w:val="1"/>
          <w:numId w:val="31"/>
        </w:numPr>
      </w:pPr>
      <w:hyperlink r:id="rId15" w:history="1">
        <w:r>
          <w:rPr>
            <w:rStyle w:val="Hypertextovodkaz"/>
          </w:rPr>
          <w:t>NÚKIB</w:t>
        </w:r>
      </w:hyperlink>
      <w:r>
        <w:t>,</w:t>
      </w:r>
    </w:p>
    <w:p w14:paraId="4BEB8211" w14:textId="43A53600" w:rsidR="008F79DC" w:rsidRPr="008F79DC" w:rsidRDefault="00D40400" w:rsidP="008F79DC">
      <w:pPr>
        <w:pStyle w:val="Odstavecseseznamem"/>
        <w:numPr>
          <w:ilvl w:val="1"/>
          <w:numId w:val="31"/>
        </w:numPr>
      </w:pPr>
      <w:hyperlink r:id="rId16" w:history="1">
        <w:r>
          <w:rPr>
            <w:rStyle w:val="Hypertextovodkaz"/>
          </w:rPr>
          <w:t>NIST</w:t>
        </w:r>
      </w:hyperlink>
      <w:r>
        <w:t>;</w:t>
      </w:r>
    </w:p>
    <w:p w14:paraId="21CB2EC2" w14:textId="1ABDC9CD" w:rsidR="00477C62" w:rsidRPr="008F79DC" w:rsidRDefault="00477C62" w:rsidP="00476096">
      <w:pPr>
        <w:pStyle w:val="Odstavecseseznamem"/>
        <w:numPr>
          <w:ilvl w:val="0"/>
          <w:numId w:val="13"/>
        </w:numPr>
        <w:spacing w:after="60" w:line="288" w:lineRule="auto"/>
      </w:pPr>
      <w:r>
        <w:t xml:space="preserve">im Fall des Steuergeräts (ECU) </w:t>
      </w:r>
      <w:r>
        <w:rPr>
          <w:b/>
        </w:rPr>
        <w:t>die Liste der Fragen</w:t>
      </w:r>
      <w:r>
        <w:t>, auf die das Gerät über CAN antwortet:</w:t>
      </w:r>
    </w:p>
    <w:p w14:paraId="31BD33EC" w14:textId="43B65259" w:rsidR="00477C62" w:rsidRPr="008F79DC" w:rsidRDefault="00477C62" w:rsidP="00FD6297">
      <w:pPr>
        <w:pStyle w:val="Odstavecseseznamem"/>
        <w:numPr>
          <w:ilvl w:val="0"/>
          <w:numId w:val="30"/>
        </w:numPr>
      </w:pPr>
      <w:r>
        <w:t>ECU hardware version (model number nebo product number),</w:t>
      </w:r>
    </w:p>
    <w:p w14:paraId="5DC35649" w14:textId="2418F903" w:rsidR="00477C62" w:rsidRPr="008F79DC" w:rsidRDefault="00477C62" w:rsidP="00FD6297">
      <w:pPr>
        <w:pStyle w:val="Odstavecseseznamem"/>
        <w:numPr>
          <w:ilvl w:val="0"/>
          <w:numId w:val="30"/>
        </w:numPr>
      </w:pPr>
      <w:r>
        <w:t>ECU serial number,</w:t>
      </w:r>
    </w:p>
    <w:p w14:paraId="1410CF11" w14:textId="77777777" w:rsidR="00477C62" w:rsidRPr="008F79DC" w:rsidRDefault="00477C62" w:rsidP="00FD6297">
      <w:pPr>
        <w:pStyle w:val="Odstavecseseznamem"/>
        <w:numPr>
          <w:ilvl w:val="0"/>
          <w:numId w:val="30"/>
        </w:numPr>
      </w:pPr>
      <w:r>
        <w:t>software version,</w:t>
      </w:r>
    </w:p>
    <w:p w14:paraId="2B372D46" w14:textId="56953D2F" w:rsidR="00477C62" w:rsidRPr="008F79DC" w:rsidRDefault="00477C62" w:rsidP="00FD6297">
      <w:pPr>
        <w:pStyle w:val="Odstavecseseznamem"/>
        <w:numPr>
          <w:ilvl w:val="0"/>
          <w:numId w:val="30"/>
        </w:numPr>
      </w:pPr>
      <w:r>
        <w:t>Integrity Validation Data;</w:t>
      </w:r>
    </w:p>
    <w:p w14:paraId="27AECE33" w14:textId="77777777" w:rsidR="00476096" w:rsidRPr="008F79DC" w:rsidRDefault="00476096" w:rsidP="00476096">
      <w:pPr>
        <w:pStyle w:val="Odstavecseseznamem"/>
        <w:numPr>
          <w:ilvl w:val="0"/>
          <w:numId w:val="13"/>
        </w:numPr>
        <w:spacing w:after="60" w:line="288" w:lineRule="auto"/>
      </w:pPr>
      <w:r>
        <w:rPr>
          <w:b/>
        </w:rPr>
        <w:t>Datum der Beendigung</w:t>
      </w:r>
      <w:r>
        <w:t xml:space="preserve"> </w:t>
      </w:r>
      <w:r>
        <w:rPr>
          <w:b/>
        </w:rPr>
        <w:t>des Produktsupports</w:t>
      </w:r>
      <w:r>
        <w:t xml:space="preserve"> (Entwicklung und Produktion von Ware / Komponente).</w:t>
      </w:r>
    </w:p>
    <w:p w14:paraId="78294920" w14:textId="77777777" w:rsidR="00476096" w:rsidRPr="008F79DC" w:rsidRDefault="00476096" w:rsidP="00476096"/>
    <w:p w14:paraId="62E73F38" w14:textId="699BDFB5" w:rsidR="00476096" w:rsidRPr="008F79DC" w:rsidRDefault="00476096" w:rsidP="00476096">
      <w:r>
        <w:t>Sollte der Lieferant nicht in der Lage sein, Punkt 2 zu liefern, ist die Zusammenarbeit zwischen SOR (Einkaufs- und Logistikdirektor, KB Manager) und der technischen Experten des Lieferanten erforderlich. Hierzu bereitet der Lieferant vorab vor:</w:t>
      </w:r>
    </w:p>
    <w:p w14:paraId="5C712514" w14:textId="77777777" w:rsidR="00476096" w:rsidRPr="008F79DC" w:rsidRDefault="00476096" w:rsidP="00476096">
      <w:pPr>
        <w:pStyle w:val="Odstavecseseznamem"/>
        <w:numPr>
          <w:ilvl w:val="0"/>
          <w:numId w:val="14"/>
        </w:numPr>
        <w:spacing w:after="60" w:line="288" w:lineRule="auto"/>
      </w:pPr>
      <w:r>
        <w:lastRenderedPageBreak/>
        <w:t>technische Dokumentation der Komponente, einschließlich des Blockschaltbildes, der Kommunikationsschnittstelle und der Betriebszustände,</w:t>
      </w:r>
    </w:p>
    <w:p w14:paraId="7BA85305" w14:textId="77777777" w:rsidR="00476096" w:rsidRPr="008F79DC" w:rsidRDefault="00476096" w:rsidP="00476096">
      <w:pPr>
        <w:pStyle w:val="Odstavecseseznamem"/>
        <w:numPr>
          <w:ilvl w:val="0"/>
          <w:numId w:val="14"/>
        </w:numPr>
        <w:spacing w:after="60" w:line="288" w:lineRule="auto"/>
      </w:pPr>
      <w:r>
        <w:t>Beschreibung der eingesetzten Sicherheitsmechanismen und -maßnahmen,</w:t>
      </w:r>
    </w:p>
    <w:p w14:paraId="0385D018" w14:textId="77777777" w:rsidR="00476096" w:rsidRPr="008F79DC" w:rsidRDefault="00476096" w:rsidP="00476096">
      <w:pPr>
        <w:pStyle w:val="Odstavecseseznamem"/>
        <w:numPr>
          <w:ilvl w:val="0"/>
          <w:numId w:val="14"/>
        </w:numPr>
        <w:spacing w:after="60" w:line="288" w:lineRule="auto"/>
      </w:pPr>
      <w:r>
        <w:t>Sicherstellung ausreichender personeller und fachlicher Kapazitäten für Beratungen und Vorschlagen ihrer Termine.</w:t>
      </w:r>
    </w:p>
    <w:p w14:paraId="5CD475B1" w14:textId="1FF92C0A" w:rsidR="00F90B2B" w:rsidRPr="008F79DC" w:rsidRDefault="00F90B2B" w:rsidP="00A678EA"/>
    <w:sectPr w:rsidR="00F90B2B" w:rsidRPr="008F79DC" w:rsidSect="00B170A7">
      <w:headerReference w:type="default" r:id="rId17"/>
      <w:footerReference w:type="default" r:id="rId18"/>
      <w:pgSz w:w="11906" w:h="16838"/>
      <w:pgMar w:top="2127" w:right="849" w:bottom="567" w:left="851" w:header="426"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C5ADA" w14:textId="77777777" w:rsidR="00E701AA" w:rsidRDefault="00E701AA" w:rsidP="00244380">
      <w:pPr>
        <w:spacing w:after="0" w:line="240" w:lineRule="auto"/>
      </w:pPr>
      <w:r>
        <w:separator/>
      </w:r>
    </w:p>
  </w:endnote>
  <w:endnote w:type="continuationSeparator" w:id="0">
    <w:p w14:paraId="78D16FB2" w14:textId="77777777" w:rsidR="00E701AA" w:rsidRDefault="00E701AA" w:rsidP="00244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CE">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Condensed-Regular">
    <w:altName w:val="Arial"/>
    <w:panose1 w:val="00000000000000000000"/>
    <w:charset w:val="EE"/>
    <w:family w:val="auto"/>
    <w:notTrueType/>
    <w:pitch w:val="default"/>
    <w:sig w:usb0="00000007" w:usb1="00000000" w:usb2="00000000" w:usb3="00000000" w:csb0="00000003" w:csb1="00000000"/>
  </w:font>
  <w:font w:name="RobotoCondensed-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FFF55" w14:textId="6FB88DEC" w:rsidR="005637A2" w:rsidRDefault="005637A2">
    <w:pPr>
      <w:pStyle w:val="Zpat"/>
      <w:jc w:val="center"/>
    </w:pPr>
    <w:r>
      <w:t xml:space="preserve">Seite </w:t>
    </w:r>
    <w:sdt>
      <w:sdtPr>
        <w:id w:val="1615553736"/>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z </w:t>
        </w:r>
        <w:fldSimple w:instr=" NUMPAGES   \* MERGEFORMAT ">
          <w:r>
            <w:rPr>
              <w:noProof/>
            </w:rPr>
            <w:t>1</w:t>
          </w:r>
        </w:fldSimple>
      </w:sdtContent>
    </w:sdt>
  </w:p>
  <w:p w14:paraId="1D8D2617" w14:textId="38424C25" w:rsidR="005637A2" w:rsidRDefault="005637A2" w:rsidP="005637A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370E7" w14:textId="77777777" w:rsidR="00E701AA" w:rsidRDefault="00E701AA" w:rsidP="00244380">
      <w:pPr>
        <w:spacing w:after="0" w:line="240" w:lineRule="auto"/>
      </w:pPr>
      <w:r>
        <w:separator/>
      </w:r>
    </w:p>
  </w:footnote>
  <w:footnote w:type="continuationSeparator" w:id="0">
    <w:p w14:paraId="46E18FBC" w14:textId="77777777" w:rsidR="00E701AA" w:rsidRDefault="00E701AA" w:rsidP="00244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0774" w:type="dxa"/>
      <w:tblInd w:w="-284" w:type="dxa"/>
      <w:tblBorders>
        <w:top w:val="none" w:sz="0" w:space="0" w:color="auto"/>
        <w:left w:val="none" w:sz="0" w:space="0" w:color="auto"/>
        <w:bottom w:val="single" w:sz="12" w:space="0" w:color="4CB848"/>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552"/>
      <w:gridCol w:w="5103"/>
      <w:gridCol w:w="3119"/>
    </w:tblGrid>
    <w:tr w:rsidR="00812364" w:rsidRPr="00BF2B10" w14:paraId="43F45CA6" w14:textId="77777777" w:rsidTr="00DC7AB0">
      <w:trPr>
        <w:trHeight w:val="1418"/>
      </w:trPr>
      <w:tc>
        <w:tcPr>
          <w:tcW w:w="2552" w:type="dxa"/>
          <w:shd w:val="clear" w:color="auto" w:fill="FFFFFF" w:themeFill="background1"/>
          <w:vAlign w:val="center"/>
        </w:tcPr>
        <w:p w14:paraId="62FE620A" w14:textId="77777777" w:rsidR="00812364" w:rsidRPr="00B85562" w:rsidRDefault="00812364" w:rsidP="00812364">
          <w:pPr>
            <w:pStyle w:val="Zhlav"/>
            <w:rPr>
              <w:sz w:val="10"/>
              <w:szCs w:val="10"/>
            </w:rPr>
          </w:pPr>
          <w:r>
            <w:rPr>
              <w:noProof/>
            </w:rPr>
            <w:drawing>
              <wp:inline distT="0" distB="0" distL="0" distR="0" wp14:anchorId="7AC60D1B" wp14:editId="1AF1C790">
                <wp:extent cx="819150" cy="483299"/>
                <wp:effectExtent l="0" t="0" r="0" b="0"/>
                <wp:docPr id="970615117" name="Obrázek 97061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pic:cNvPicPr/>
                      </pic:nvPicPr>
                      <pic:blipFill>
                        <a:blip r:embed="rId1">
                          <a:extLst>
                            <a:ext uri="{28A0092B-C50C-407E-A947-70E740481C1C}">
                              <a14:useLocalDpi xmlns:a14="http://schemas.microsoft.com/office/drawing/2010/main" val="0"/>
                            </a:ext>
                          </a:extLst>
                        </a:blip>
                        <a:stretch>
                          <a:fillRect/>
                        </a:stretch>
                      </pic:blipFill>
                      <pic:spPr>
                        <a:xfrm>
                          <a:off x="0" y="0"/>
                          <a:ext cx="857694" cy="506040"/>
                        </a:xfrm>
                        <a:prstGeom prst="rect">
                          <a:avLst/>
                        </a:prstGeom>
                      </pic:spPr>
                    </pic:pic>
                  </a:graphicData>
                </a:graphic>
              </wp:inline>
            </w:drawing>
          </w:r>
        </w:p>
        <w:p w14:paraId="143580BB" w14:textId="77777777" w:rsidR="00B85562" w:rsidRPr="00B85562" w:rsidRDefault="00B85562" w:rsidP="00812364">
          <w:pPr>
            <w:pStyle w:val="Zhlav"/>
            <w:rPr>
              <w:sz w:val="10"/>
              <w:szCs w:val="10"/>
            </w:rPr>
          </w:pPr>
        </w:p>
        <w:p w14:paraId="1D4C3254" w14:textId="669EA66F" w:rsidR="00B85562" w:rsidRDefault="00183A0C" w:rsidP="00812364">
          <w:pPr>
            <w:pStyle w:val="Zhlav"/>
            <w:rPr>
              <w:sz w:val="16"/>
              <w:szCs w:val="16"/>
            </w:rPr>
          </w:pPr>
          <w:r>
            <w:rPr>
              <w:sz w:val="16"/>
              <w:szCs w:val="16"/>
            </w:rPr>
            <w:t>MPQ 840-2 Anlage 3</w:t>
          </w:r>
        </w:p>
        <w:p w14:paraId="08A0E123" w14:textId="5ECFC0AF" w:rsidR="00B85562" w:rsidRPr="00B85562" w:rsidRDefault="00B85562" w:rsidP="00812364">
          <w:pPr>
            <w:pStyle w:val="Zhlav"/>
            <w:rPr>
              <w:sz w:val="16"/>
              <w:szCs w:val="16"/>
            </w:rPr>
          </w:pPr>
          <w:r>
            <w:rPr>
              <w:sz w:val="16"/>
              <w:szCs w:val="16"/>
            </w:rPr>
            <w:t>Klassifikation des Dokumentes: Öffentlich</w:t>
          </w:r>
        </w:p>
      </w:tc>
      <w:tc>
        <w:tcPr>
          <w:tcW w:w="5103" w:type="dxa"/>
          <w:shd w:val="clear" w:color="auto" w:fill="FFFFFF" w:themeFill="background1"/>
          <w:vAlign w:val="center"/>
        </w:tcPr>
        <w:p w14:paraId="1EE99E69" w14:textId="3BB314CE" w:rsidR="00812364" w:rsidRPr="00845BC1" w:rsidRDefault="00DC7AB0" w:rsidP="00812364">
          <w:pPr>
            <w:pStyle w:val="Zhlav"/>
            <w:jc w:val="center"/>
            <w:rPr>
              <w:sz w:val="32"/>
              <w:szCs w:val="32"/>
            </w:rPr>
          </w:pPr>
          <w:r>
            <w:rPr>
              <w:sz w:val="32"/>
              <w:szCs w:val="32"/>
            </w:rPr>
            <w:t>KB Regeln für Lieferanten und Waren</w:t>
          </w:r>
        </w:p>
      </w:tc>
      <w:tc>
        <w:tcPr>
          <w:tcW w:w="3119" w:type="dxa"/>
          <w:shd w:val="clear" w:color="auto" w:fill="FFFFFF" w:themeFill="background1"/>
          <w:vAlign w:val="center"/>
        </w:tcPr>
        <w:p w14:paraId="036ED972" w14:textId="77777777" w:rsidR="00812364" w:rsidRPr="005A43FC" w:rsidRDefault="00812364" w:rsidP="00812364">
          <w:pPr>
            <w:autoSpaceDE w:val="0"/>
            <w:autoSpaceDN w:val="0"/>
            <w:adjustRightInd w:val="0"/>
            <w:spacing w:after="0" w:line="240" w:lineRule="auto"/>
            <w:rPr>
              <w:rFonts w:ascii="RobotoCondensed-Regular" w:hAnsi="RobotoCondensed-Regular" w:cs="RobotoCondensed-Regular"/>
              <w:kern w:val="0"/>
              <w:sz w:val="18"/>
              <w:szCs w:val="18"/>
              <w:lang w:val="en-US"/>
            </w:rPr>
          </w:pPr>
          <w:r w:rsidRPr="005A43FC">
            <w:rPr>
              <w:rFonts w:ascii="RobotoCondensed-Regular" w:hAnsi="RobotoCondensed-Regular"/>
              <w:sz w:val="18"/>
              <w:szCs w:val="18"/>
              <w:lang w:val="en-US"/>
            </w:rPr>
            <w:t>SOR Libchavy spol. s r.o.</w:t>
          </w:r>
        </w:p>
        <w:p w14:paraId="4E989FD6" w14:textId="76E6F494" w:rsidR="00812364" w:rsidRPr="005A43FC" w:rsidRDefault="00812364" w:rsidP="00812364">
          <w:pPr>
            <w:autoSpaceDE w:val="0"/>
            <w:autoSpaceDN w:val="0"/>
            <w:adjustRightInd w:val="0"/>
            <w:spacing w:after="0" w:line="240" w:lineRule="auto"/>
            <w:rPr>
              <w:rFonts w:ascii="RobotoCondensed-Regular" w:hAnsi="RobotoCondensed-Regular" w:cs="RobotoCondensed-Regular"/>
              <w:kern w:val="0"/>
              <w:sz w:val="18"/>
              <w:szCs w:val="18"/>
              <w:lang w:val="en-US"/>
            </w:rPr>
          </w:pPr>
          <w:r w:rsidRPr="005A43FC">
            <w:rPr>
              <w:rFonts w:ascii="RobotoCondensed-Regular" w:hAnsi="RobotoCondensed-Regular"/>
              <w:sz w:val="18"/>
              <w:szCs w:val="18"/>
              <w:lang w:val="en-US"/>
            </w:rPr>
            <w:t>Dolní Libchavy 48, 561 16 Libchavy</w:t>
          </w:r>
        </w:p>
        <w:p w14:paraId="5038C223" w14:textId="77777777" w:rsidR="00812364" w:rsidRPr="005A43FC" w:rsidRDefault="00812364" w:rsidP="00812364">
          <w:pPr>
            <w:autoSpaceDE w:val="0"/>
            <w:autoSpaceDN w:val="0"/>
            <w:adjustRightInd w:val="0"/>
            <w:spacing w:after="0" w:line="240" w:lineRule="auto"/>
            <w:rPr>
              <w:rFonts w:ascii="RobotoCondensed-Regular" w:hAnsi="RobotoCondensed-Regular" w:cs="RobotoCondensed-Regular"/>
              <w:kern w:val="0"/>
              <w:sz w:val="18"/>
              <w:szCs w:val="18"/>
              <w:lang w:val="en-US"/>
            </w:rPr>
          </w:pPr>
          <w:r w:rsidRPr="005A43FC">
            <w:rPr>
              <w:rFonts w:ascii="RobotoCondensed-Regular" w:hAnsi="RobotoCondensed-Regular"/>
              <w:sz w:val="18"/>
              <w:szCs w:val="18"/>
              <w:lang w:val="en-US"/>
            </w:rPr>
            <w:t>ID-Nr.: 15030865, UID-Nr.: CZ15030865</w:t>
          </w:r>
        </w:p>
        <w:p w14:paraId="2C7C9A0C" w14:textId="77777777" w:rsidR="00812364" w:rsidRPr="00AD6081" w:rsidRDefault="00812364" w:rsidP="00812364">
          <w:pPr>
            <w:pStyle w:val="Zhlav"/>
            <w:rPr>
              <w:rFonts w:ascii="RobotoCondensed-Regular" w:hAnsi="RobotoCondensed-Regular" w:cs="RobotoCondensed-Regular"/>
              <w:kern w:val="0"/>
              <w:sz w:val="8"/>
              <w:szCs w:val="8"/>
            </w:rPr>
          </w:pPr>
          <w:r>
            <w:rPr>
              <w:rFonts w:ascii="RobotoCondensed-Regular" w:hAnsi="RobotoCondensed-Regular"/>
              <w:sz w:val="18"/>
              <w:szCs w:val="18"/>
            </w:rPr>
            <w:t>Tel.: +420 465 519 411, sor@sor.cz</w:t>
          </w:r>
        </w:p>
        <w:p w14:paraId="432E9653" w14:textId="77777777" w:rsidR="00812364" w:rsidRPr="00AD6081" w:rsidRDefault="00812364" w:rsidP="00812364">
          <w:pPr>
            <w:pStyle w:val="Zhlav"/>
            <w:rPr>
              <w:rFonts w:ascii="RobotoCondensed-Regular" w:hAnsi="RobotoCondensed-Regular" w:cs="RobotoCondensed-Regular"/>
              <w:kern w:val="0"/>
              <w:sz w:val="8"/>
              <w:szCs w:val="8"/>
            </w:rPr>
          </w:pPr>
        </w:p>
        <w:p w14:paraId="6D49D16E" w14:textId="77777777" w:rsidR="00812364" w:rsidRPr="00AD6081" w:rsidRDefault="00812364" w:rsidP="00812364">
          <w:pPr>
            <w:pStyle w:val="Zhlav"/>
            <w:rPr>
              <w:color w:val="4CB848"/>
              <w:szCs w:val="20"/>
            </w:rPr>
          </w:pPr>
          <w:r>
            <w:rPr>
              <w:rFonts w:ascii="RobotoCondensed-Bold" w:hAnsi="RobotoCondensed-Bold"/>
              <w:b/>
              <w:bCs/>
              <w:color w:val="4CB848"/>
              <w:szCs w:val="20"/>
            </w:rPr>
            <w:t>www.sor.cz</w:t>
          </w:r>
        </w:p>
      </w:tc>
    </w:tr>
  </w:tbl>
  <w:p w14:paraId="10933788" w14:textId="77777777" w:rsidR="00812364" w:rsidRPr="00BF2B10" w:rsidRDefault="00812364" w:rsidP="008123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375A"/>
    <w:multiLevelType w:val="hybridMultilevel"/>
    <w:tmpl w:val="11AA0E5A"/>
    <w:lvl w:ilvl="0" w:tplc="1086645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466FD5"/>
    <w:multiLevelType w:val="hybridMultilevel"/>
    <w:tmpl w:val="3D5AF17E"/>
    <w:lvl w:ilvl="0" w:tplc="28384422">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240895"/>
    <w:multiLevelType w:val="multilevel"/>
    <w:tmpl w:val="D75092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AD7FF2"/>
    <w:multiLevelType w:val="hybridMultilevel"/>
    <w:tmpl w:val="7084E6EA"/>
    <w:lvl w:ilvl="0" w:tplc="283844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732692"/>
    <w:multiLevelType w:val="hybridMultilevel"/>
    <w:tmpl w:val="A84843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D60EF8"/>
    <w:multiLevelType w:val="hybridMultilevel"/>
    <w:tmpl w:val="8EA6E6A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66A5B10"/>
    <w:multiLevelType w:val="hybridMultilevel"/>
    <w:tmpl w:val="77CA2268"/>
    <w:lvl w:ilvl="0" w:tplc="283844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8777F2"/>
    <w:multiLevelType w:val="hybridMultilevel"/>
    <w:tmpl w:val="8F0439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9B532C3"/>
    <w:multiLevelType w:val="hybridMultilevel"/>
    <w:tmpl w:val="5312410A"/>
    <w:lvl w:ilvl="0" w:tplc="1086645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8E6231"/>
    <w:multiLevelType w:val="hybridMultilevel"/>
    <w:tmpl w:val="63566598"/>
    <w:lvl w:ilvl="0" w:tplc="530EAB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F83D19"/>
    <w:multiLevelType w:val="hybridMultilevel"/>
    <w:tmpl w:val="F01AC44C"/>
    <w:lvl w:ilvl="0" w:tplc="1086645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034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1F71E8"/>
    <w:multiLevelType w:val="multilevel"/>
    <w:tmpl w:val="E7F8CB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6E476E"/>
    <w:multiLevelType w:val="hybridMultilevel"/>
    <w:tmpl w:val="1E1C88A2"/>
    <w:lvl w:ilvl="0" w:tplc="283844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8210BA"/>
    <w:multiLevelType w:val="hybridMultilevel"/>
    <w:tmpl w:val="60620A0A"/>
    <w:lvl w:ilvl="0" w:tplc="50A659B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D33E0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4E33FF"/>
    <w:multiLevelType w:val="hybridMultilevel"/>
    <w:tmpl w:val="C0DC2B16"/>
    <w:lvl w:ilvl="0" w:tplc="04050003">
      <w:start w:val="1"/>
      <w:numFmt w:val="bullet"/>
      <w:lvlText w:val="o"/>
      <w:lvlJc w:val="left"/>
      <w:pPr>
        <w:ind w:left="1068" w:hanging="360"/>
      </w:pPr>
      <w:rPr>
        <w:rFonts w:ascii="Courier New" w:hAnsi="Courier New" w:cs="Courier New"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546D0F67"/>
    <w:multiLevelType w:val="hybridMultilevel"/>
    <w:tmpl w:val="B9F8DA40"/>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2419E9"/>
    <w:multiLevelType w:val="hybridMultilevel"/>
    <w:tmpl w:val="797606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6D1C5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F7685B"/>
    <w:multiLevelType w:val="multilevel"/>
    <w:tmpl w:val="5288B67A"/>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63F27C4B"/>
    <w:multiLevelType w:val="hybridMultilevel"/>
    <w:tmpl w:val="F5CEA4E6"/>
    <w:lvl w:ilvl="0" w:tplc="283844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387DF1"/>
    <w:multiLevelType w:val="hybridMultilevel"/>
    <w:tmpl w:val="C71AA81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66103FB5"/>
    <w:multiLevelType w:val="hybridMultilevel"/>
    <w:tmpl w:val="C7A23900"/>
    <w:lvl w:ilvl="0" w:tplc="28384422">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7629D6"/>
    <w:multiLevelType w:val="hybridMultilevel"/>
    <w:tmpl w:val="4198F0A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6B4C0C8C"/>
    <w:multiLevelType w:val="hybridMultilevel"/>
    <w:tmpl w:val="35B6DBD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721C668E"/>
    <w:multiLevelType w:val="multilevel"/>
    <w:tmpl w:val="FA1E016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7" w15:restartNumberingAfterBreak="0">
    <w:nsid w:val="72B71D58"/>
    <w:multiLevelType w:val="hybridMultilevel"/>
    <w:tmpl w:val="F6ACF098"/>
    <w:lvl w:ilvl="0" w:tplc="1086645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8B5159"/>
    <w:multiLevelType w:val="hybridMultilevel"/>
    <w:tmpl w:val="02F26826"/>
    <w:lvl w:ilvl="0" w:tplc="283844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C53775"/>
    <w:multiLevelType w:val="hybridMultilevel"/>
    <w:tmpl w:val="14A8E8F4"/>
    <w:lvl w:ilvl="0" w:tplc="FCBA35DE">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7111D4"/>
    <w:multiLevelType w:val="hybridMultilevel"/>
    <w:tmpl w:val="6ACC89A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1965386338">
    <w:abstractNumId w:val="26"/>
  </w:num>
  <w:num w:numId="2" w16cid:durableId="656687156">
    <w:abstractNumId w:val="20"/>
  </w:num>
  <w:num w:numId="3" w16cid:durableId="1801260385">
    <w:abstractNumId w:val="29"/>
  </w:num>
  <w:num w:numId="4" w16cid:durableId="1675064235">
    <w:abstractNumId w:val="14"/>
  </w:num>
  <w:num w:numId="5" w16cid:durableId="599289808">
    <w:abstractNumId w:val="15"/>
  </w:num>
  <w:num w:numId="6" w16cid:durableId="1507132910">
    <w:abstractNumId w:val="11"/>
  </w:num>
  <w:num w:numId="7" w16cid:durableId="368452663">
    <w:abstractNumId w:val="2"/>
  </w:num>
  <w:num w:numId="8" w16cid:durableId="124545356">
    <w:abstractNumId w:val="19"/>
  </w:num>
  <w:num w:numId="9" w16cid:durableId="1805343684">
    <w:abstractNumId w:val="12"/>
  </w:num>
  <w:num w:numId="10" w16cid:durableId="276567356">
    <w:abstractNumId w:val="4"/>
  </w:num>
  <w:num w:numId="11" w16cid:durableId="134226870">
    <w:abstractNumId w:val="10"/>
  </w:num>
  <w:num w:numId="12" w16cid:durableId="84767905">
    <w:abstractNumId w:val="0"/>
  </w:num>
  <w:num w:numId="13" w16cid:durableId="400255406">
    <w:abstractNumId w:val="23"/>
  </w:num>
  <w:num w:numId="14" w16cid:durableId="277949924">
    <w:abstractNumId w:val="13"/>
  </w:num>
  <w:num w:numId="15" w16cid:durableId="2052000469">
    <w:abstractNumId w:val="1"/>
  </w:num>
  <w:num w:numId="16" w16cid:durableId="1177766901">
    <w:abstractNumId w:val="9"/>
  </w:num>
  <w:num w:numId="17" w16cid:durableId="361789554">
    <w:abstractNumId w:val="6"/>
  </w:num>
  <w:num w:numId="18" w16cid:durableId="1210916693">
    <w:abstractNumId w:val="3"/>
  </w:num>
  <w:num w:numId="19" w16cid:durableId="1903328833">
    <w:abstractNumId w:val="16"/>
  </w:num>
  <w:num w:numId="20" w16cid:durableId="110827160">
    <w:abstractNumId w:val="21"/>
  </w:num>
  <w:num w:numId="21" w16cid:durableId="1479807950">
    <w:abstractNumId w:val="28"/>
  </w:num>
  <w:num w:numId="22" w16cid:durableId="737940832">
    <w:abstractNumId w:val="8"/>
  </w:num>
  <w:num w:numId="23" w16cid:durableId="629753045">
    <w:abstractNumId w:val="27"/>
  </w:num>
  <w:num w:numId="24" w16cid:durableId="1525635750">
    <w:abstractNumId w:val="22"/>
  </w:num>
  <w:num w:numId="25" w16cid:durableId="1450975943">
    <w:abstractNumId w:val="25"/>
  </w:num>
  <w:num w:numId="26" w16cid:durableId="1479417106">
    <w:abstractNumId w:val="30"/>
  </w:num>
  <w:num w:numId="27" w16cid:durableId="826172317">
    <w:abstractNumId w:val="18"/>
  </w:num>
  <w:num w:numId="28" w16cid:durableId="555092397">
    <w:abstractNumId w:val="17"/>
  </w:num>
  <w:num w:numId="29" w16cid:durableId="2093551757">
    <w:abstractNumId w:val="5"/>
  </w:num>
  <w:num w:numId="30" w16cid:durableId="2136293577">
    <w:abstractNumId w:val="7"/>
  </w:num>
  <w:num w:numId="31" w16cid:durableId="6020385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7A"/>
    <w:rsid w:val="00043BDF"/>
    <w:rsid w:val="000478E9"/>
    <w:rsid w:val="00062B9B"/>
    <w:rsid w:val="0006398B"/>
    <w:rsid w:val="00063ABF"/>
    <w:rsid w:val="0006513C"/>
    <w:rsid w:val="000936BC"/>
    <w:rsid w:val="000A5896"/>
    <w:rsid w:val="000A68F5"/>
    <w:rsid w:val="000D0D29"/>
    <w:rsid w:val="000D519C"/>
    <w:rsid w:val="000E29D7"/>
    <w:rsid w:val="000E354F"/>
    <w:rsid w:val="000E5532"/>
    <w:rsid w:val="000E677A"/>
    <w:rsid w:val="000E6FCD"/>
    <w:rsid w:val="000F470F"/>
    <w:rsid w:val="00115ABF"/>
    <w:rsid w:val="001367D3"/>
    <w:rsid w:val="00163615"/>
    <w:rsid w:val="00166C38"/>
    <w:rsid w:val="00173331"/>
    <w:rsid w:val="00181FC1"/>
    <w:rsid w:val="00183A0C"/>
    <w:rsid w:val="00190501"/>
    <w:rsid w:val="001A0F6D"/>
    <w:rsid w:val="001C33D8"/>
    <w:rsid w:val="001C4963"/>
    <w:rsid w:val="001D242E"/>
    <w:rsid w:val="001E6BB2"/>
    <w:rsid w:val="002039D2"/>
    <w:rsid w:val="00207FE6"/>
    <w:rsid w:val="00225768"/>
    <w:rsid w:val="00234F46"/>
    <w:rsid w:val="002432DC"/>
    <w:rsid w:val="00244380"/>
    <w:rsid w:val="002B465E"/>
    <w:rsid w:val="002C0EBF"/>
    <w:rsid w:val="00325665"/>
    <w:rsid w:val="003304D5"/>
    <w:rsid w:val="00331651"/>
    <w:rsid w:val="003410B2"/>
    <w:rsid w:val="00352612"/>
    <w:rsid w:val="003615E5"/>
    <w:rsid w:val="0036245B"/>
    <w:rsid w:val="00363D32"/>
    <w:rsid w:val="00367F39"/>
    <w:rsid w:val="0037016A"/>
    <w:rsid w:val="003774A8"/>
    <w:rsid w:val="003A7DEB"/>
    <w:rsid w:val="003B2263"/>
    <w:rsid w:val="003B4CA9"/>
    <w:rsid w:val="003B5D47"/>
    <w:rsid w:val="003C7101"/>
    <w:rsid w:val="003D7E2D"/>
    <w:rsid w:val="003E6335"/>
    <w:rsid w:val="00433782"/>
    <w:rsid w:val="00476096"/>
    <w:rsid w:val="00477C62"/>
    <w:rsid w:val="00485219"/>
    <w:rsid w:val="0049488F"/>
    <w:rsid w:val="004B6C90"/>
    <w:rsid w:val="004D2260"/>
    <w:rsid w:val="00512604"/>
    <w:rsid w:val="0052432E"/>
    <w:rsid w:val="00524BC0"/>
    <w:rsid w:val="00527261"/>
    <w:rsid w:val="00544249"/>
    <w:rsid w:val="00554422"/>
    <w:rsid w:val="005568D2"/>
    <w:rsid w:val="00556C18"/>
    <w:rsid w:val="00560784"/>
    <w:rsid w:val="005633BC"/>
    <w:rsid w:val="0056346F"/>
    <w:rsid w:val="005637A2"/>
    <w:rsid w:val="00564673"/>
    <w:rsid w:val="00567BAA"/>
    <w:rsid w:val="005A43FC"/>
    <w:rsid w:val="005A76CF"/>
    <w:rsid w:val="005C720E"/>
    <w:rsid w:val="005D4409"/>
    <w:rsid w:val="005E3683"/>
    <w:rsid w:val="005F1DD4"/>
    <w:rsid w:val="0061281C"/>
    <w:rsid w:val="00613A02"/>
    <w:rsid w:val="0064087D"/>
    <w:rsid w:val="00647897"/>
    <w:rsid w:val="006624FB"/>
    <w:rsid w:val="0067496F"/>
    <w:rsid w:val="00696CA9"/>
    <w:rsid w:val="006B6BDD"/>
    <w:rsid w:val="006D48C9"/>
    <w:rsid w:val="006E6432"/>
    <w:rsid w:val="006F350D"/>
    <w:rsid w:val="00717FE6"/>
    <w:rsid w:val="00722A20"/>
    <w:rsid w:val="00726D0E"/>
    <w:rsid w:val="00727E4A"/>
    <w:rsid w:val="00741C59"/>
    <w:rsid w:val="00745F5D"/>
    <w:rsid w:val="007561BC"/>
    <w:rsid w:val="00764B05"/>
    <w:rsid w:val="007728F8"/>
    <w:rsid w:val="007930D6"/>
    <w:rsid w:val="007945A1"/>
    <w:rsid w:val="007D09D5"/>
    <w:rsid w:val="007E20C1"/>
    <w:rsid w:val="007E52FB"/>
    <w:rsid w:val="007F4FA1"/>
    <w:rsid w:val="00812364"/>
    <w:rsid w:val="00831061"/>
    <w:rsid w:val="00836AE1"/>
    <w:rsid w:val="00845BC1"/>
    <w:rsid w:val="0085515F"/>
    <w:rsid w:val="00860449"/>
    <w:rsid w:val="0086486A"/>
    <w:rsid w:val="00876446"/>
    <w:rsid w:val="008931FE"/>
    <w:rsid w:val="008A4EBC"/>
    <w:rsid w:val="008F4214"/>
    <w:rsid w:val="008F79DC"/>
    <w:rsid w:val="00905E1F"/>
    <w:rsid w:val="0092566A"/>
    <w:rsid w:val="009326B9"/>
    <w:rsid w:val="009550DF"/>
    <w:rsid w:val="0097629E"/>
    <w:rsid w:val="009856CD"/>
    <w:rsid w:val="009A4C50"/>
    <w:rsid w:val="009B2604"/>
    <w:rsid w:val="009C0ABC"/>
    <w:rsid w:val="009D682D"/>
    <w:rsid w:val="009E38F3"/>
    <w:rsid w:val="009F2AEB"/>
    <w:rsid w:val="009F7797"/>
    <w:rsid w:val="00A20189"/>
    <w:rsid w:val="00A24C89"/>
    <w:rsid w:val="00A258B1"/>
    <w:rsid w:val="00A27F25"/>
    <w:rsid w:val="00A52998"/>
    <w:rsid w:val="00A678EA"/>
    <w:rsid w:val="00A770C8"/>
    <w:rsid w:val="00A83B7A"/>
    <w:rsid w:val="00AA192A"/>
    <w:rsid w:val="00AA7F53"/>
    <w:rsid w:val="00AC4374"/>
    <w:rsid w:val="00AC605C"/>
    <w:rsid w:val="00AD6081"/>
    <w:rsid w:val="00AD7700"/>
    <w:rsid w:val="00AE1CB6"/>
    <w:rsid w:val="00AF1C01"/>
    <w:rsid w:val="00AF30B9"/>
    <w:rsid w:val="00B03FC8"/>
    <w:rsid w:val="00B10E40"/>
    <w:rsid w:val="00B12A30"/>
    <w:rsid w:val="00B1487A"/>
    <w:rsid w:val="00B170A7"/>
    <w:rsid w:val="00B17906"/>
    <w:rsid w:val="00B521BD"/>
    <w:rsid w:val="00B535B7"/>
    <w:rsid w:val="00B67344"/>
    <w:rsid w:val="00B85562"/>
    <w:rsid w:val="00B91A6C"/>
    <w:rsid w:val="00BA0329"/>
    <w:rsid w:val="00BA2006"/>
    <w:rsid w:val="00BB0099"/>
    <w:rsid w:val="00BB01D8"/>
    <w:rsid w:val="00BD4053"/>
    <w:rsid w:val="00BF2B10"/>
    <w:rsid w:val="00C038D8"/>
    <w:rsid w:val="00C11821"/>
    <w:rsid w:val="00C200B4"/>
    <w:rsid w:val="00C269C9"/>
    <w:rsid w:val="00C36039"/>
    <w:rsid w:val="00C628EE"/>
    <w:rsid w:val="00C67619"/>
    <w:rsid w:val="00C950FE"/>
    <w:rsid w:val="00CA78A4"/>
    <w:rsid w:val="00CC71F2"/>
    <w:rsid w:val="00D135B2"/>
    <w:rsid w:val="00D40400"/>
    <w:rsid w:val="00D53238"/>
    <w:rsid w:val="00D5733F"/>
    <w:rsid w:val="00D63095"/>
    <w:rsid w:val="00D664B9"/>
    <w:rsid w:val="00D83507"/>
    <w:rsid w:val="00D83DEC"/>
    <w:rsid w:val="00D8433B"/>
    <w:rsid w:val="00D85C3E"/>
    <w:rsid w:val="00DA127E"/>
    <w:rsid w:val="00DC0365"/>
    <w:rsid w:val="00DC22B1"/>
    <w:rsid w:val="00DC7AB0"/>
    <w:rsid w:val="00DD0EC4"/>
    <w:rsid w:val="00DE5B0A"/>
    <w:rsid w:val="00DF70B1"/>
    <w:rsid w:val="00E23C42"/>
    <w:rsid w:val="00E3752F"/>
    <w:rsid w:val="00E477AE"/>
    <w:rsid w:val="00E55B62"/>
    <w:rsid w:val="00E57904"/>
    <w:rsid w:val="00E57C4E"/>
    <w:rsid w:val="00E701AA"/>
    <w:rsid w:val="00E92F86"/>
    <w:rsid w:val="00E97205"/>
    <w:rsid w:val="00EC08B8"/>
    <w:rsid w:val="00EC12A1"/>
    <w:rsid w:val="00ED387D"/>
    <w:rsid w:val="00EE3F65"/>
    <w:rsid w:val="00EF6675"/>
    <w:rsid w:val="00F05E58"/>
    <w:rsid w:val="00F2584C"/>
    <w:rsid w:val="00F33D2B"/>
    <w:rsid w:val="00F50E30"/>
    <w:rsid w:val="00F56A77"/>
    <w:rsid w:val="00F90752"/>
    <w:rsid w:val="00F90B2B"/>
    <w:rsid w:val="00FA261B"/>
    <w:rsid w:val="00FC4E1B"/>
    <w:rsid w:val="00FD6297"/>
    <w:rsid w:val="00FD6A27"/>
    <w:rsid w:val="00FF3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D1007"/>
  <w15:chartTrackingRefBased/>
  <w15:docId w15:val="{A5BC7694-1D5C-4450-933D-E53D2556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6096"/>
    <w:pPr>
      <w:spacing w:after="60" w:line="288" w:lineRule="auto"/>
    </w:pPr>
    <w:rPr>
      <w:rFonts w:ascii="Arial CE" w:hAnsi="Arial CE"/>
      <w:sz w:val="20"/>
    </w:rPr>
  </w:style>
  <w:style w:type="paragraph" w:styleId="Nadpis1">
    <w:name w:val="heading 1"/>
    <w:basedOn w:val="Normln"/>
    <w:next w:val="Normln"/>
    <w:link w:val="Nadpis1Char"/>
    <w:autoRedefine/>
    <w:uiPriority w:val="9"/>
    <w:qFormat/>
    <w:rsid w:val="00AF1C01"/>
    <w:pPr>
      <w:keepNext/>
      <w:keepLines/>
      <w:numPr>
        <w:numId w:val="1"/>
      </w:numPr>
      <w:spacing w:before="120"/>
      <w:outlineLvl w:val="0"/>
    </w:pPr>
    <w:rPr>
      <w:rFonts w:eastAsiaTheme="majorEastAsia" w:cstheme="majorBidi"/>
      <w:sz w:val="36"/>
      <w:szCs w:val="32"/>
    </w:rPr>
  </w:style>
  <w:style w:type="paragraph" w:styleId="Nadpis2">
    <w:name w:val="heading 2"/>
    <w:basedOn w:val="Normln"/>
    <w:next w:val="Normln"/>
    <w:link w:val="Nadpis2Char"/>
    <w:autoRedefine/>
    <w:uiPriority w:val="9"/>
    <w:unhideWhenUsed/>
    <w:qFormat/>
    <w:rsid w:val="00AF1C01"/>
    <w:pPr>
      <w:keepNext/>
      <w:keepLines/>
      <w:numPr>
        <w:ilvl w:val="1"/>
        <w:numId w:val="1"/>
      </w:numPr>
      <w:spacing w:before="60"/>
      <w:outlineLvl w:val="1"/>
    </w:pPr>
    <w:rPr>
      <w:rFonts w:eastAsiaTheme="majorEastAsia" w:cstheme="majorBidi"/>
      <w:sz w:val="32"/>
      <w:szCs w:val="26"/>
    </w:rPr>
  </w:style>
  <w:style w:type="paragraph" w:styleId="Nadpis3">
    <w:name w:val="heading 3"/>
    <w:basedOn w:val="Normln"/>
    <w:next w:val="Normln"/>
    <w:link w:val="Nadpis3Char"/>
    <w:autoRedefine/>
    <w:uiPriority w:val="9"/>
    <w:unhideWhenUsed/>
    <w:qFormat/>
    <w:rsid w:val="004D2260"/>
    <w:pPr>
      <w:keepNext/>
      <w:keepLines/>
      <w:numPr>
        <w:ilvl w:val="2"/>
        <w:numId w:val="1"/>
      </w:numPr>
      <w:spacing w:before="60"/>
      <w:outlineLvl w:val="2"/>
    </w:pPr>
    <w:rPr>
      <w:rFonts w:eastAsiaTheme="majorEastAsia" w:cstheme="majorBidi"/>
      <w:sz w:val="28"/>
      <w:szCs w:val="24"/>
    </w:rPr>
  </w:style>
  <w:style w:type="paragraph" w:styleId="Nadpis4">
    <w:name w:val="heading 4"/>
    <w:basedOn w:val="Normln"/>
    <w:next w:val="Normln"/>
    <w:link w:val="Nadpis4Char"/>
    <w:autoRedefine/>
    <w:uiPriority w:val="9"/>
    <w:unhideWhenUsed/>
    <w:qFormat/>
    <w:rsid w:val="007E20C1"/>
    <w:pPr>
      <w:keepNext/>
      <w:keepLines/>
      <w:numPr>
        <w:ilvl w:val="3"/>
        <w:numId w:val="1"/>
      </w:numPr>
      <w:spacing w:before="60"/>
      <w:outlineLvl w:val="3"/>
    </w:pPr>
    <w:rPr>
      <w:rFonts w:eastAsiaTheme="majorEastAsia" w:cstheme="majorBidi"/>
      <w:iCs/>
      <w:sz w:val="24"/>
    </w:rPr>
  </w:style>
  <w:style w:type="paragraph" w:styleId="Nadpis5">
    <w:name w:val="heading 5"/>
    <w:basedOn w:val="Normln"/>
    <w:next w:val="Normln"/>
    <w:link w:val="Nadpis5Char"/>
    <w:uiPriority w:val="9"/>
    <w:semiHidden/>
    <w:unhideWhenUsed/>
    <w:rsid w:val="0032566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32566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2566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2566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2566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443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4380"/>
  </w:style>
  <w:style w:type="paragraph" w:styleId="Zpat">
    <w:name w:val="footer"/>
    <w:basedOn w:val="Normln"/>
    <w:link w:val="ZpatChar"/>
    <w:uiPriority w:val="99"/>
    <w:unhideWhenUsed/>
    <w:rsid w:val="00244380"/>
    <w:pPr>
      <w:tabs>
        <w:tab w:val="center" w:pos="4536"/>
        <w:tab w:val="right" w:pos="9072"/>
      </w:tabs>
      <w:spacing w:after="0" w:line="240" w:lineRule="auto"/>
    </w:pPr>
  </w:style>
  <w:style w:type="character" w:customStyle="1" w:styleId="ZpatChar">
    <w:name w:val="Zápatí Char"/>
    <w:basedOn w:val="Standardnpsmoodstavce"/>
    <w:link w:val="Zpat"/>
    <w:uiPriority w:val="99"/>
    <w:rsid w:val="00244380"/>
  </w:style>
  <w:style w:type="character" w:customStyle="1" w:styleId="Nadpis1Char">
    <w:name w:val="Nadpis 1 Char"/>
    <w:basedOn w:val="Standardnpsmoodstavce"/>
    <w:link w:val="Nadpis1"/>
    <w:uiPriority w:val="9"/>
    <w:rsid w:val="00AF1C01"/>
    <w:rPr>
      <w:rFonts w:ascii="Arial CE" w:eastAsiaTheme="majorEastAsia" w:hAnsi="Arial CE" w:cstheme="majorBidi"/>
      <w:sz w:val="36"/>
      <w:szCs w:val="32"/>
    </w:rPr>
  </w:style>
  <w:style w:type="character" w:customStyle="1" w:styleId="Nadpis2Char">
    <w:name w:val="Nadpis 2 Char"/>
    <w:basedOn w:val="Standardnpsmoodstavce"/>
    <w:link w:val="Nadpis2"/>
    <w:uiPriority w:val="9"/>
    <w:rsid w:val="00AF1C01"/>
    <w:rPr>
      <w:rFonts w:ascii="Arial CE" w:eastAsiaTheme="majorEastAsia" w:hAnsi="Arial CE" w:cstheme="majorBidi"/>
      <w:sz w:val="32"/>
      <w:szCs w:val="26"/>
    </w:rPr>
  </w:style>
  <w:style w:type="character" w:customStyle="1" w:styleId="Nadpis3Char">
    <w:name w:val="Nadpis 3 Char"/>
    <w:basedOn w:val="Standardnpsmoodstavce"/>
    <w:link w:val="Nadpis3"/>
    <w:uiPriority w:val="9"/>
    <w:rsid w:val="004D2260"/>
    <w:rPr>
      <w:rFonts w:ascii="Arial CE" w:eastAsiaTheme="majorEastAsia" w:hAnsi="Arial CE" w:cstheme="majorBidi"/>
      <w:sz w:val="28"/>
      <w:szCs w:val="24"/>
    </w:rPr>
  </w:style>
  <w:style w:type="character" w:customStyle="1" w:styleId="Nadpis4Char">
    <w:name w:val="Nadpis 4 Char"/>
    <w:basedOn w:val="Standardnpsmoodstavce"/>
    <w:link w:val="Nadpis4"/>
    <w:uiPriority w:val="9"/>
    <w:rsid w:val="007E20C1"/>
    <w:rPr>
      <w:rFonts w:ascii="Arial CE" w:eastAsiaTheme="majorEastAsia" w:hAnsi="Arial CE" w:cstheme="majorBidi"/>
      <w:iCs/>
      <w:sz w:val="24"/>
    </w:rPr>
  </w:style>
  <w:style w:type="table" w:styleId="Mkatabulky">
    <w:name w:val="Table Grid"/>
    <w:basedOn w:val="Normlntabulka"/>
    <w:uiPriority w:val="39"/>
    <w:rsid w:val="00BF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325665"/>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325665"/>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325665"/>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32566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25665"/>
    <w:rPr>
      <w:rFonts w:asciiTheme="majorHAnsi" w:eastAsiaTheme="majorEastAsia" w:hAnsiTheme="majorHAnsi" w:cstheme="majorBidi"/>
      <w:i/>
      <w:iCs/>
      <w:color w:val="272727" w:themeColor="text1" w:themeTint="D8"/>
      <w:sz w:val="21"/>
      <w:szCs w:val="21"/>
    </w:rPr>
  </w:style>
  <w:style w:type="paragraph" w:customStyle="1" w:styleId="Velk">
    <w:name w:val="Velké"/>
    <w:basedOn w:val="Normln"/>
    <w:link w:val="VelkChar"/>
    <w:autoRedefine/>
    <w:qFormat/>
    <w:rsid w:val="00476096"/>
    <w:pPr>
      <w:spacing w:before="60" w:line="264" w:lineRule="auto"/>
      <w:jc w:val="center"/>
    </w:pPr>
    <w:rPr>
      <w:sz w:val="36"/>
      <w:szCs w:val="24"/>
    </w:rPr>
  </w:style>
  <w:style w:type="paragraph" w:customStyle="1" w:styleId="Velk2">
    <w:name w:val="Velké 2"/>
    <w:basedOn w:val="Normln"/>
    <w:link w:val="Velk2Char"/>
    <w:autoRedefine/>
    <w:qFormat/>
    <w:rsid w:val="000478E9"/>
    <w:pPr>
      <w:spacing w:before="60"/>
      <w:jc w:val="center"/>
    </w:pPr>
    <w:rPr>
      <w:sz w:val="28"/>
    </w:rPr>
  </w:style>
  <w:style w:type="character" w:customStyle="1" w:styleId="VelkChar">
    <w:name w:val="Velké Char"/>
    <w:basedOn w:val="Standardnpsmoodstavce"/>
    <w:link w:val="Velk"/>
    <w:rsid w:val="00476096"/>
    <w:rPr>
      <w:rFonts w:ascii="Arial CE" w:hAnsi="Arial CE"/>
      <w:sz w:val="36"/>
      <w:szCs w:val="24"/>
    </w:rPr>
  </w:style>
  <w:style w:type="paragraph" w:styleId="Nadpisobsahu">
    <w:name w:val="TOC Heading"/>
    <w:basedOn w:val="Nadpis1"/>
    <w:next w:val="Normln"/>
    <w:uiPriority w:val="39"/>
    <w:unhideWhenUsed/>
    <w:qFormat/>
    <w:rsid w:val="00F90B2B"/>
    <w:pPr>
      <w:numPr>
        <w:numId w:val="0"/>
      </w:numPr>
      <w:spacing w:before="240" w:after="0"/>
      <w:outlineLvl w:val="9"/>
    </w:pPr>
    <w:rPr>
      <w:rFonts w:asciiTheme="majorHAnsi" w:hAnsiTheme="majorHAnsi"/>
      <w:color w:val="2F5496" w:themeColor="accent1" w:themeShade="BF"/>
      <w:kern w:val="0"/>
      <w:sz w:val="32"/>
      <w:lang w:eastAsia="cs-CZ"/>
      <w14:ligatures w14:val="none"/>
    </w:rPr>
  </w:style>
  <w:style w:type="character" w:customStyle="1" w:styleId="Velk2Char">
    <w:name w:val="Velké 2 Char"/>
    <w:basedOn w:val="Standardnpsmoodstavce"/>
    <w:link w:val="Velk2"/>
    <w:rsid w:val="000478E9"/>
    <w:rPr>
      <w:rFonts w:ascii="Arial CE" w:hAnsi="Arial CE"/>
      <w:sz w:val="28"/>
    </w:rPr>
  </w:style>
  <w:style w:type="character" w:styleId="Hypertextovodkaz">
    <w:name w:val="Hyperlink"/>
    <w:basedOn w:val="Standardnpsmoodstavce"/>
    <w:uiPriority w:val="99"/>
    <w:unhideWhenUsed/>
    <w:rsid w:val="006F350D"/>
    <w:rPr>
      <w:color w:val="0563C1" w:themeColor="hyperlink"/>
      <w:u w:val="single"/>
    </w:rPr>
  </w:style>
  <w:style w:type="character" w:styleId="Nevyeenzmnka">
    <w:name w:val="Unresolved Mention"/>
    <w:basedOn w:val="Standardnpsmoodstavce"/>
    <w:uiPriority w:val="99"/>
    <w:semiHidden/>
    <w:unhideWhenUsed/>
    <w:rsid w:val="006F350D"/>
    <w:rPr>
      <w:color w:val="605E5C"/>
      <w:shd w:val="clear" w:color="auto" w:fill="E1DFDD"/>
    </w:rPr>
  </w:style>
  <w:style w:type="paragraph" w:styleId="Odstavecseseznamem">
    <w:name w:val="List Paragraph"/>
    <w:basedOn w:val="Normln"/>
    <w:link w:val="OdstavecseseznamemChar"/>
    <w:uiPriority w:val="34"/>
    <w:qFormat/>
    <w:rsid w:val="007F4FA1"/>
    <w:pPr>
      <w:spacing w:after="160" w:line="256" w:lineRule="auto"/>
      <w:ind w:left="720"/>
      <w:contextualSpacing/>
    </w:pPr>
    <w:rPr>
      <w:rFonts w:asciiTheme="minorHAnsi" w:hAnsiTheme="minorHAnsi"/>
      <w:kern w:val="0"/>
      <w:sz w:val="22"/>
      <w14:ligatures w14:val="none"/>
    </w:rPr>
  </w:style>
  <w:style w:type="character" w:customStyle="1" w:styleId="OdstavecseseznamemChar">
    <w:name w:val="Odstavec se seznamem Char"/>
    <w:basedOn w:val="Standardnpsmoodstavce"/>
    <w:link w:val="Odstavecseseznamem"/>
    <w:uiPriority w:val="34"/>
    <w:locked/>
    <w:rsid w:val="007F4FA1"/>
    <w:rPr>
      <w:kern w:val="0"/>
      <w14:ligatures w14:val="none"/>
    </w:rPr>
  </w:style>
  <w:style w:type="paragraph" w:styleId="Revize">
    <w:name w:val="Revision"/>
    <w:hidden/>
    <w:uiPriority w:val="99"/>
    <w:semiHidden/>
    <w:rsid w:val="006624FB"/>
    <w:pPr>
      <w:spacing w:after="0" w:line="240" w:lineRule="auto"/>
    </w:pPr>
    <w:rPr>
      <w:rFonts w:ascii="Arial CE" w:hAnsi="Arial CE"/>
      <w:sz w:val="20"/>
    </w:rPr>
  </w:style>
  <w:style w:type="character" w:styleId="Sledovanodkaz">
    <w:name w:val="FollowedHyperlink"/>
    <w:basedOn w:val="Standardnpsmoodstavce"/>
    <w:uiPriority w:val="99"/>
    <w:semiHidden/>
    <w:unhideWhenUsed/>
    <w:rsid w:val="000F47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50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znameni@sor.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r.cz/wp-content/uploads/2024/04/MPQ-840-2-P&#345;&#237;loha-2-DIA.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src.nist.gov/projects/cryptographic-standards-and-guidel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r.cz/wp-content/uploads/2024/04/MPQ-840-2-P&#345;&#237;loha-4-KB-dotazn&#237;k-pro-dodavatele.docx" TargetMode="External"/><Relationship Id="rId5" Type="http://schemas.openxmlformats.org/officeDocument/2006/relationships/numbering" Target="numbering.xml"/><Relationship Id="rId15" Type="http://schemas.openxmlformats.org/officeDocument/2006/relationships/hyperlink" Target="https://nukib.gov.cz/download/uredni_deska/Minimalni%20pozadavky%20na%20kryptograficke%20algoritmy.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vd.nist.gov/vuln/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dfb1dc2-0a21-4630-9e04-ef167210a7b9" xsi:nil="true"/>
    <lcf76f155ced4ddcb4097134ff3c332f xmlns="c9f0a2be-0d75-488b-9e08-ebf2caca0a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E2507C56D467B4BA8CDCD537EE2BD0C" ma:contentTypeVersion="13" ma:contentTypeDescription="Vytvoří nový dokument" ma:contentTypeScope="" ma:versionID="e6ce8b7add19d5e1c119337fcfe2a38d">
  <xsd:schema xmlns:xsd="http://www.w3.org/2001/XMLSchema" xmlns:xs="http://www.w3.org/2001/XMLSchema" xmlns:p="http://schemas.microsoft.com/office/2006/metadata/properties" xmlns:ns2="c9f0a2be-0d75-488b-9e08-ebf2caca0a77" xmlns:ns3="cdfb1dc2-0a21-4630-9e04-ef167210a7b9" targetNamespace="http://schemas.microsoft.com/office/2006/metadata/properties" ma:root="true" ma:fieldsID="c240b09c17e403b88826a65917a8ef82" ns2:_="" ns3:_="">
    <xsd:import namespace="c9f0a2be-0d75-488b-9e08-ebf2caca0a77"/>
    <xsd:import namespace="cdfb1dc2-0a21-4630-9e04-ef167210a7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0a2be-0d75-488b-9e08-ebf2caca0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3d492a-34e3-4bbc-b307-be6ada0c91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b1dc2-0a21-4630-9e04-ef167210a7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e49f8f-9ece-4c10-a2b1-9c15189c93f7}" ma:internalName="TaxCatchAll" ma:showField="CatchAllData" ma:web="cdfb1dc2-0a21-4630-9e04-ef167210a7b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91BD8-0EF9-4112-970E-686CF1EE04B3}">
  <ds:schemaRefs>
    <ds:schemaRef ds:uri="http://schemas.openxmlformats.org/officeDocument/2006/bibliography"/>
  </ds:schemaRefs>
</ds:datastoreItem>
</file>

<file path=customXml/itemProps2.xml><?xml version="1.0" encoding="utf-8"?>
<ds:datastoreItem xmlns:ds="http://schemas.openxmlformats.org/officeDocument/2006/customXml" ds:itemID="{26A2DEE0-D92B-4AB3-B227-D09B7301C493}">
  <ds:schemaRefs>
    <ds:schemaRef ds:uri="http://schemas.microsoft.com/office/2006/metadata/properties"/>
    <ds:schemaRef ds:uri="http://schemas.microsoft.com/office/infopath/2007/PartnerControls"/>
    <ds:schemaRef ds:uri="cdfb1dc2-0a21-4630-9e04-ef167210a7b9"/>
    <ds:schemaRef ds:uri="c9f0a2be-0d75-488b-9e08-ebf2caca0a77"/>
  </ds:schemaRefs>
</ds:datastoreItem>
</file>

<file path=customXml/itemProps3.xml><?xml version="1.0" encoding="utf-8"?>
<ds:datastoreItem xmlns:ds="http://schemas.openxmlformats.org/officeDocument/2006/customXml" ds:itemID="{F34DEB91-AA83-41C8-8093-63FBCCDC7476}">
  <ds:schemaRefs>
    <ds:schemaRef ds:uri="http://schemas.microsoft.com/sharepoint/v3/contenttype/forms"/>
  </ds:schemaRefs>
</ds:datastoreItem>
</file>

<file path=customXml/itemProps4.xml><?xml version="1.0" encoding="utf-8"?>
<ds:datastoreItem xmlns:ds="http://schemas.openxmlformats.org/officeDocument/2006/customXml" ds:itemID="{06583DB9-7A0B-4B0B-8E7A-B7749A898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0a2be-0d75-488b-9e08-ebf2caca0a77"/>
    <ds:schemaRef ds:uri="cdfb1dc2-0a21-4630-9e04-ef167210a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4717</Characters>
  <Application>Microsoft Office Word</Application>
  <DocSecurity>0</DocSecurity>
  <Lines>92</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Stránský Tomáš</dc:creator>
  <cp:keywords/>
  <dc:description/>
  <cp:lastModifiedBy>Jakubková Daniela</cp:lastModifiedBy>
  <cp:revision>193</cp:revision>
  <dcterms:created xsi:type="dcterms:W3CDTF">2023-03-29T08:58:00Z</dcterms:created>
  <dcterms:modified xsi:type="dcterms:W3CDTF">2024-10-07T14:51:00Z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0x0101001E2507C56D467B4BA8CDCD537EE2BD0C</vt:lpwstr>
  </property>
  <property fmtid="{D5CDD505-2E9C-101B-9397-08002B2CF9AE}" pid="3" name="MediaServiceImageTags">
    <vt:lpwstr/>
  </property>
</Properties>
</file>